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Ind w:w="0" w:type="dxa"/>
        <w:tblLook w:val="04A0" w:firstRow="1" w:lastRow="0" w:firstColumn="1" w:lastColumn="0" w:noHBand="0" w:noVBand="1"/>
      </w:tblPr>
      <w:tblGrid>
        <w:gridCol w:w="9062"/>
      </w:tblGrid>
      <w:tr w:rsidR="00624D51" w:rsidTr="00624D51">
        <w:tc>
          <w:tcPr>
            <w:tcW w:w="9062" w:type="dxa"/>
            <w:tcBorders>
              <w:top w:val="single" w:sz="4" w:space="0" w:color="auto"/>
              <w:left w:val="single" w:sz="4" w:space="0" w:color="auto"/>
              <w:bottom w:val="single" w:sz="4" w:space="0" w:color="auto"/>
              <w:right w:val="single" w:sz="4" w:space="0" w:color="auto"/>
            </w:tcBorders>
            <w:hideMark/>
          </w:tcPr>
          <w:p w:rsidR="00624D51" w:rsidRDefault="00624D51">
            <w:pPr>
              <w:spacing w:before="120" w:after="120" w:line="240" w:lineRule="auto"/>
              <w:jc w:val="center"/>
            </w:pPr>
            <w:r>
              <w:rPr>
                <w:rFonts w:ascii="Times New Roman" w:hAnsi="Times New Roman" w:cs="Times New Roman"/>
                <w:b/>
                <w:sz w:val="24"/>
                <w:szCs w:val="24"/>
                <w:u w:val="single"/>
              </w:rPr>
              <w:t>Compléments alimentaires - Engagement de conformité au droit alimentaire</w:t>
            </w:r>
          </w:p>
        </w:tc>
      </w:tr>
    </w:tbl>
    <w:p w:rsidR="00624D51" w:rsidRDefault="00624D51" w:rsidP="00624D51"/>
    <w:p w:rsidR="00624D51" w:rsidRDefault="00624D51" w:rsidP="00624D51">
      <w:pPr>
        <w:pStyle w:val="Lettre"/>
        <w:spacing w:after="120"/>
        <w:rPr>
          <w:sz w:val="24"/>
          <w:szCs w:val="24"/>
        </w:rPr>
      </w:pPr>
      <w:r>
        <w:rPr>
          <w:sz w:val="24"/>
          <w:szCs w:val="24"/>
        </w:rPr>
        <w:t xml:space="preserve">En lien avec la déclaration effectuée au titre de l’article 15 du décret n°2006-352 du 20 mars 2006 relatif aux compléments alimentaires, </w:t>
      </w:r>
    </w:p>
    <w:p w:rsidR="00624D51" w:rsidRDefault="00624D51" w:rsidP="00624D51">
      <w:pPr>
        <w:pStyle w:val="Lettre"/>
        <w:spacing w:after="120"/>
        <w:rPr>
          <w:sz w:val="24"/>
          <w:szCs w:val="24"/>
        </w:rPr>
      </w:pPr>
      <w:proofErr w:type="gramStart"/>
      <w:r>
        <w:rPr>
          <w:sz w:val="24"/>
          <w:szCs w:val="24"/>
        </w:rPr>
        <w:t>la</w:t>
      </w:r>
      <w:proofErr w:type="gramEnd"/>
      <w:r>
        <w:rPr>
          <w:sz w:val="24"/>
          <w:szCs w:val="24"/>
        </w:rPr>
        <w:t xml:space="preserve"> société </w:t>
      </w:r>
      <w:r>
        <w:rPr>
          <w:b/>
          <w:sz w:val="24"/>
          <w:szCs w:val="24"/>
        </w:rPr>
        <w:t>[Raison Sociale du déclarant]</w:t>
      </w:r>
      <w:r>
        <w:rPr>
          <w:sz w:val="24"/>
          <w:szCs w:val="24"/>
        </w:rPr>
        <w:t xml:space="preserve"> </w:t>
      </w:r>
    </w:p>
    <w:p w:rsidR="00624D51" w:rsidRDefault="00624D51" w:rsidP="00624D51">
      <w:pPr>
        <w:pStyle w:val="Lettre"/>
        <w:spacing w:after="120"/>
        <w:rPr>
          <w:sz w:val="24"/>
          <w:szCs w:val="24"/>
        </w:rPr>
      </w:pPr>
      <w:proofErr w:type="gramStart"/>
      <w:r>
        <w:rPr>
          <w:sz w:val="24"/>
          <w:szCs w:val="24"/>
        </w:rPr>
        <w:t>atteste</w:t>
      </w:r>
      <w:proofErr w:type="gramEnd"/>
      <w:r>
        <w:rPr>
          <w:sz w:val="24"/>
          <w:szCs w:val="24"/>
        </w:rPr>
        <w:t xml:space="preserve"> que le produit qu’elle met sur le marché </w:t>
      </w:r>
      <w:r>
        <w:rPr>
          <w:b/>
          <w:sz w:val="24"/>
          <w:szCs w:val="24"/>
        </w:rPr>
        <w:t>[Nom commercial], [Forme], [Marque – Gamme],</w:t>
      </w:r>
      <w:r>
        <w:rPr>
          <w:sz w:val="24"/>
          <w:szCs w:val="24"/>
        </w:rPr>
        <w:t xml:space="preserve"> </w:t>
      </w:r>
    </w:p>
    <w:p w:rsidR="00624D51" w:rsidRDefault="00624D51" w:rsidP="00624D51">
      <w:pPr>
        <w:pStyle w:val="Lettre"/>
        <w:spacing w:after="120"/>
        <w:rPr>
          <w:b/>
          <w:sz w:val="24"/>
          <w:szCs w:val="24"/>
        </w:rPr>
      </w:pPr>
      <w:proofErr w:type="gramStart"/>
      <w:r>
        <w:rPr>
          <w:sz w:val="24"/>
          <w:szCs w:val="24"/>
        </w:rPr>
        <w:t>enregistré</w:t>
      </w:r>
      <w:proofErr w:type="gramEnd"/>
      <w:r>
        <w:rPr>
          <w:sz w:val="24"/>
          <w:szCs w:val="24"/>
        </w:rPr>
        <w:t xml:space="preserve"> sous le numéro </w:t>
      </w:r>
      <w:r>
        <w:rPr>
          <w:b/>
          <w:sz w:val="24"/>
          <w:szCs w:val="24"/>
        </w:rPr>
        <w:t xml:space="preserve">[Numéro de déclaration figurant sur l’enregistrement de déclaration], </w:t>
      </w:r>
    </w:p>
    <w:p w:rsidR="00624D51" w:rsidRDefault="00624D51" w:rsidP="00624D51">
      <w:pPr>
        <w:pStyle w:val="Lettre"/>
        <w:spacing w:after="120"/>
        <w:rPr>
          <w:sz w:val="24"/>
          <w:szCs w:val="24"/>
        </w:rPr>
      </w:pPr>
      <w:proofErr w:type="gramStart"/>
      <w:r>
        <w:rPr>
          <w:sz w:val="24"/>
          <w:szCs w:val="24"/>
        </w:rPr>
        <w:t>répond</w:t>
      </w:r>
      <w:proofErr w:type="gramEnd"/>
      <w:r>
        <w:rPr>
          <w:sz w:val="24"/>
          <w:szCs w:val="24"/>
        </w:rPr>
        <w:t xml:space="preserve"> aux prescriptions du droit alimentaire qui lui sont applicables, notamment les textes précisés en annexe 1 du présent engagement (liste non exhaustive).</w:t>
      </w:r>
    </w:p>
    <w:p w:rsidR="00624D51" w:rsidRDefault="00624D51" w:rsidP="00624D51">
      <w:pPr>
        <w:pStyle w:val="Notedebasdepage"/>
        <w:spacing w:after="120"/>
        <w:ind w:left="5664"/>
        <w:jc w:val="both"/>
        <w:rPr>
          <w:sz w:val="24"/>
          <w:szCs w:val="24"/>
        </w:rPr>
      </w:pPr>
    </w:p>
    <w:p w:rsidR="00624D51" w:rsidRDefault="00624D51" w:rsidP="00624D51">
      <w:pPr>
        <w:pStyle w:val="Notedebasdepage"/>
        <w:spacing w:after="120"/>
        <w:ind w:left="5664"/>
        <w:jc w:val="both"/>
        <w:rPr>
          <w:rFonts w:ascii="Times New Roman" w:hAnsi="Times New Roman" w:cs="Times New Roman"/>
          <w:b/>
          <w:sz w:val="24"/>
          <w:szCs w:val="24"/>
        </w:rPr>
      </w:pPr>
      <w:r>
        <w:rPr>
          <w:rFonts w:ascii="Times New Roman" w:hAnsi="Times New Roman" w:cs="Times New Roman"/>
          <w:b/>
          <w:sz w:val="24"/>
          <w:szCs w:val="24"/>
        </w:rPr>
        <w:t xml:space="preserve"> [Date]</w:t>
      </w:r>
      <w:r>
        <w:rPr>
          <w:rFonts w:ascii="Times New Roman" w:hAnsi="Times New Roman" w:cs="Times New Roman"/>
          <w:b/>
          <w:sz w:val="24"/>
          <w:szCs w:val="24"/>
        </w:rPr>
        <w:br/>
      </w:r>
    </w:p>
    <w:p w:rsidR="00624D51" w:rsidRDefault="00624D51" w:rsidP="00624D51">
      <w:pPr>
        <w:pStyle w:val="Notedebasdepage"/>
        <w:spacing w:after="120"/>
        <w:ind w:left="5664"/>
        <w:jc w:val="both"/>
        <w:rPr>
          <w:rFonts w:ascii="Times New Roman" w:hAnsi="Times New Roman" w:cs="Times New Roman"/>
          <w:b/>
          <w:sz w:val="24"/>
          <w:szCs w:val="24"/>
        </w:rPr>
      </w:pPr>
      <w:r>
        <w:rPr>
          <w:rFonts w:ascii="Times New Roman" w:hAnsi="Times New Roman" w:cs="Times New Roman"/>
          <w:b/>
          <w:sz w:val="24"/>
          <w:szCs w:val="24"/>
        </w:rPr>
        <w:t xml:space="preserve">[Raison Sociale du déclarant] </w:t>
      </w:r>
    </w:p>
    <w:p w:rsidR="00624D51" w:rsidRDefault="00624D51" w:rsidP="00624D51">
      <w:pPr>
        <w:pStyle w:val="Notedebasdepage"/>
        <w:spacing w:after="120"/>
        <w:ind w:left="5664"/>
        <w:jc w:val="both"/>
        <w:rPr>
          <w:rFonts w:ascii="Times New Roman" w:hAnsi="Times New Roman" w:cs="Times New Roman"/>
          <w:b/>
          <w:sz w:val="24"/>
          <w:szCs w:val="24"/>
        </w:rPr>
      </w:pPr>
    </w:p>
    <w:p w:rsidR="00624D51" w:rsidRDefault="00624D51" w:rsidP="00624D51">
      <w:pPr>
        <w:pStyle w:val="Notedebasdepage"/>
        <w:spacing w:after="120"/>
        <w:ind w:left="5664"/>
        <w:jc w:val="both"/>
        <w:rPr>
          <w:rFonts w:ascii="Times New Roman" w:hAnsi="Times New Roman" w:cs="Times New Roman"/>
          <w:b/>
          <w:sz w:val="24"/>
          <w:szCs w:val="24"/>
        </w:rPr>
      </w:pPr>
      <w:r>
        <w:rPr>
          <w:rFonts w:ascii="Times New Roman" w:hAnsi="Times New Roman" w:cs="Times New Roman"/>
          <w:b/>
          <w:sz w:val="24"/>
          <w:szCs w:val="24"/>
        </w:rPr>
        <w:t>[Signature]</w:t>
      </w:r>
    </w:p>
    <w:p w:rsidR="00624D51" w:rsidRDefault="00624D51" w:rsidP="00624D51">
      <w:pPr>
        <w:pStyle w:val="Lettre"/>
        <w:spacing w:after="120"/>
        <w:rPr>
          <w:sz w:val="24"/>
          <w:szCs w:val="24"/>
        </w:rPr>
      </w:pPr>
    </w:p>
    <w:p w:rsidR="00624D51" w:rsidRDefault="00624D51" w:rsidP="00624D51">
      <w:pPr>
        <w:rPr>
          <w:rFonts w:ascii="Times New Roman" w:hAnsi="Times New Roman" w:cs="Times New Roman"/>
          <w:sz w:val="24"/>
          <w:szCs w:val="24"/>
        </w:rPr>
      </w:pPr>
      <w:r>
        <w:rPr>
          <w:rFonts w:ascii="Times New Roman" w:hAnsi="Times New Roman" w:cs="Times New Roman"/>
          <w:sz w:val="24"/>
          <w:szCs w:val="24"/>
        </w:rPr>
        <w:br w:type="page"/>
      </w:r>
    </w:p>
    <w:p w:rsidR="00624D51" w:rsidRDefault="00624D51" w:rsidP="00624D5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lastRenderedPageBreak/>
        <w:t>Annexe 1 : prescriptions du droit alimentaire applicables au compléments alimentaires (liste non exhaustive)</w:t>
      </w:r>
    </w:p>
    <w:p w:rsidR="00624D51" w:rsidRDefault="00624D51" w:rsidP="00624D51">
      <w:pPr>
        <w:pStyle w:val="Notedebasdepage"/>
        <w:numPr>
          <w:ilvl w:val="0"/>
          <w:numId w:val="1"/>
        </w:numPr>
        <w:spacing w:after="120"/>
        <w:jc w:val="both"/>
        <w:rPr>
          <w:rFonts w:ascii="Times New Roman" w:hAnsi="Times New Roman" w:cs="Times New Roman"/>
          <w:sz w:val="24"/>
          <w:szCs w:val="24"/>
        </w:rPr>
      </w:pPr>
      <w:hyperlink r:id="rId5" w:history="1">
        <w:r>
          <w:rPr>
            <w:rStyle w:val="Lienhypertexte"/>
            <w:rFonts w:ascii="Times New Roman" w:hAnsi="Times New Roman" w:cs="Times New Roman"/>
            <w:sz w:val="24"/>
            <w:szCs w:val="24"/>
          </w:rPr>
          <w:t>Directive n°2002/46/CE</w:t>
        </w:r>
      </w:hyperlink>
      <w:r>
        <w:rPr>
          <w:rFonts w:ascii="Times New Roman" w:hAnsi="Times New Roman" w:cs="Times New Roman"/>
          <w:sz w:val="24"/>
          <w:szCs w:val="24"/>
        </w:rPr>
        <w:t xml:space="preserve"> du Parlement européen et du Conseil du 10 juin 2002 relative au rapprochement des législations des Etats membres concernant les compléments alimentaires et le </w:t>
      </w:r>
      <w:hyperlink r:id="rId6" w:tgtFrame="_blank" w:history="1">
        <w:r>
          <w:rPr>
            <w:rStyle w:val="Lienhypertexte"/>
            <w:rFonts w:ascii="Times New Roman" w:hAnsi="Times New Roman" w:cs="Times New Roman"/>
            <w:sz w:val="24"/>
            <w:szCs w:val="24"/>
          </w:rPr>
          <w:t>décret n°2006-352</w:t>
        </w:r>
      </w:hyperlink>
      <w:r>
        <w:rPr>
          <w:rFonts w:ascii="Times New Roman" w:hAnsi="Times New Roman" w:cs="Times New Roman"/>
          <w:sz w:val="24"/>
          <w:szCs w:val="24"/>
        </w:rPr>
        <w:t xml:space="preserve"> du 20 mars 2006 relatif aux compléments alimentaires ;</w:t>
      </w:r>
    </w:p>
    <w:p w:rsidR="00624D51" w:rsidRDefault="00624D51" w:rsidP="00624D51">
      <w:pPr>
        <w:pStyle w:val="Lettre"/>
        <w:numPr>
          <w:ilvl w:val="0"/>
          <w:numId w:val="1"/>
        </w:numPr>
        <w:spacing w:after="120"/>
        <w:rPr>
          <w:sz w:val="24"/>
          <w:szCs w:val="24"/>
        </w:rPr>
      </w:pPr>
      <w:hyperlink r:id="rId7" w:tgtFrame="_blank" w:history="1">
        <w:r>
          <w:rPr>
            <w:rStyle w:val="Lienhypertexte"/>
            <w:sz w:val="24"/>
            <w:szCs w:val="24"/>
          </w:rPr>
          <w:t>Règlement (CE) n°178/2002</w:t>
        </w:r>
      </w:hyperlink>
      <w:r>
        <w:rPr>
          <w:rStyle w:val="Lienhypertexte"/>
          <w:sz w:val="24"/>
          <w:szCs w:val="24"/>
        </w:rPr>
        <w:t xml:space="preserve"> </w:t>
      </w:r>
      <w:r>
        <w:rPr>
          <w:sz w:val="24"/>
          <w:szCs w:val="24"/>
        </w:rPr>
        <w:t>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w:t>
      </w:r>
    </w:p>
    <w:p w:rsidR="00624D51" w:rsidRDefault="00624D51" w:rsidP="00624D51">
      <w:pPr>
        <w:pStyle w:val="Lettre"/>
        <w:numPr>
          <w:ilvl w:val="0"/>
          <w:numId w:val="1"/>
        </w:numPr>
        <w:spacing w:after="120"/>
        <w:rPr>
          <w:sz w:val="24"/>
          <w:szCs w:val="24"/>
        </w:rPr>
      </w:pPr>
      <w:hyperlink r:id="rId8" w:history="1">
        <w:r>
          <w:rPr>
            <w:rStyle w:val="Lienhypertexte"/>
            <w:sz w:val="24"/>
            <w:szCs w:val="24"/>
          </w:rPr>
          <w:t>Règlement (CE) n°852/2004</w:t>
        </w:r>
      </w:hyperlink>
      <w:r>
        <w:rPr>
          <w:sz w:val="24"/>
          <w:szCs w:val="24"/>
        </w:rPr>
        <w:t xml:space="preserve"> du parlement européen et du Conseil du 29 avril 2004 relatif à l'hygiène des denrées alimentaires ;</w:t>
      </w:r>
    </w:p>
    <w:p w:rsidR="00624D51" w:rsidRDefault="00624D51" w:rsidP="00624D51">
      <w:pPr>
        <w:pStyle w:val="Lettre"/>
        <w:numPr>
          <w:ilvl w:val="0"/>
          <w:numId w:val="1"/>
        </w:numPr>
        <w:spacing w:after="120"/>
        <w:rPr>
          <w:sz w:val="24"/>
          <w:szCs w:val="24"/>
        </w:rPr>
      </w:pPr>
      <w:hyperlink r:id="rId9" w:history="1">
        <w:r>
          <w:rPr>
            <w:rStyle w:val="Lienhypertexte"/>
            <w:sz w:val="24"/>
            <w:szCs w:val="24"/>
          </w:rPr>
          <w:t>Règlement (CE) n°1881/2006</w:t>
        </w:r>
      </w:hyperlink>
      <w:r>
        <w:rPr>
          <w:sz w:val="24"/>
          <w:szCs w:val="24"/>
        </w:rPr>
        <w:t xml:space="preserve"> de la Commission du 19 décembre 2006 portant fixation de teneurs maximales pour certains contaminants dans les denrées alimentaires ;</w:t>
      </w:r>
    </w:p>
    <w:p w:rsidR="00624D51" w:rsidRDefault="00624D51" w:rsidP="00624D51">
      <w:pPr>
        <w:pStyle w:val="Lettre"/>
        <w:numPr>
          <w:ilvl w:val="0"/>
          <w:numId w:val="1"/>
        </w:numPr>
        <w:spacing w:after="120"/>
        <w:rPr>
          <w:sz w:val="24"/>
          <w:szCs w:val="24"/>
        </w:rPr>
      </w:pPr>
      <w:hyperlink r:id="rId10" w:tgtFrame="_blank" w:history="1">
        <w:r>
          <w:rPr>
            <w:rStyle w:val="Lienhypertexte"/>
            <w:sz w:val="24"/>
            <w:szCs w:val="24"/>
          </w:rPr>
          <w:t>Règlement (CE) n°1924/2006</w:t>
        </w:r>
      </w:hyperlink>
      <w:r>
        <w:rPr>
          <w:rStyle w:val="Lienhypertexte"/>
          <w:sz w:val="24"/>
          <w:szCs w:val="24"/>
        </w:rPr>
        <w:t xml:space="preserve"> </w:t>
      </w:r>
      <w:r>
        <w:rPr>
          <w:sz w:val="24"/>
          <w:szCs w:val="24"/>
        </w:rPr>
        <w:t>du Parlement européen et du Conseil du 20 décembre 2006 concernant les allégations nutritionnelles et de santé portant sur les denrées alimentaires.</w:t>
      </w:r>
    </w:p>
    <w:p w:rsidR="00624D51" w:rsidRDefault="00624D51" w:rsidP="00624D51">
      <w:pPr>
        <w:pStyle w:val="Lettre"/>
        <w:numPr>
          <w:ilvl w:val="0"/>
          <w:numId w:val="1"/>
        </w:numPr>
        <w:spacing w:after="120"/>
        <w:rPr>
          <w:sz w:val="24"/>
          <w:szCs w:val="24"/>
        </w:rPr>
      </w:pPr>
      <w:hyperlink r:id="rId11" w:history="1">
        <w:r>
          <w:rPr>
            <w:rStyle w:val="Lienhypertexte"/>
            <w:sz w:val="24"/>
            <w:szCs w:val="24"/>
          </w:rPr>
          <w:t>Règlement (CE) n°1925/2006</w:t>
        </w:r>
      </w:hyperlink>
      <w:r>
        <w:rPr>
          <w:sz w:val="24"/>
          <w:szCs w:val="24"/>
        </w:rPr>
        <w:t xml:space="preserve"> du Parlement européen et du Conseil du 20 décembre 2006 concernant l'adjonction de vitamines, de minéraux et de certaines autres substances aux denrées alimentaires ;</w:t>
      </w:r>
    </w:p>
    <w:p w:rsidR="00624D51" w:rsidRDefault="00624D51" w:rsidP="00624D51">
      <w:pPr>
        <w:pStyle w:val="Lettre"/>
        <w:numPr>
          <w:ilvl w:val="0"/>
          <w:numId w:val="1"/>
        </w:numPr>
        <w:spacing w:after="120"/>
        <w:rPr>
          <w:sz w:val="24"/>
          <w:szCs w:val="24"/>
        </w:rPr>
      </w:pPr>
      <w:hyperlink r:id="rId12" w:history="1">
        <w:r>
          <w:rPr>
            <w:rStyle w:val="Lienhypertexte"/>
            <w:sz w:val="24"/>
            <w:szCs w:val="24"/>
          </w:rPr>
          <w:t>Règlement (CE) n°1333/2008</w:t>
        </w:r>
      </w:hyperlink>
      <w:r>
        <w:rPr>
          <w:sz w:val="24"/>
          <w:szCs w:val="24"/>
        </w:rPr>
        <w:t xml:space="preserve"> du Parlement européen et du Conseil du 16 décembre 2008 sur les additifs alimentaires ;</w:t>
      </w:r>
    </w:p>
    <w:p w:rsidR="00624D51" w:rsidRDefault="00624D51" w:rsidP="00624D51">
      <w:pPr>
        <w:pStyle w:val="Lettre"/>
        <w:numPr>
          <w:ilvl w:val="0"/>
          <w:numId w:val="1"/>
        </w:numPr>
        <w:spacing w:after="120"/>
        <w:rPr>
          <w:sz w:val="24"/>
          <w:szCs w:val="24"/>
        </w:rPr>
      </w:pPr>
      <w:hyperlink r:id="rId13" w:history="1">
        <w:r>
          <w:rPr>
            <w:rStyle w:val="Lienhypertexte"/>
            <w:sz w:val="24"/>
            <w:szCs w:val="24"/>
          </w:rPr>
          <w:t>Règlement (CE) n°1334/2008</w:t>
        </w:r>
      </w:hyperlink>
      <w:r>
        <w:rPr>
          <w:sz w:val="24"/>
          <w:szCs w:val="24"/>
        </w:rPr>
        <w:t xml:space="preserve"> du Parlement européen et du Conseil du 16 décembre 2008 relatif aux arômes et à certains ingrédients alimentaires possédant des propriétés </w:t>
      </w:r>
      <w:proofErr w:type="spellStart"/>
      <w:r>
        <w:rPr>
          <w:sz w:val="24"/>
          <w:szCs w:val="24"/>
        </w:rPr>
        <w:t>aromatisantes</w:t>
      </w:r>
      <w:proofErr w:type="spellEnd"/>
      <w:r>
        <w:rPr>
          <w:sz w:val="24"/>
          <w:szCs w:val="24"/>
        </w:rPr>
        <w:t xml:space="preserve"> qui sont destinés à être utilisés dans et sur les denrées alimentaires </w:t>
      </w:r>
      <w:r>
        <w:t>et modifiant le règlement (CEE) n°</w:t>
      </w:r>
      <w:r>
        <w:rPr>
          <w:sz w:val="24"/>
          <w:szCs w:val="24"/>
        </w:rPr>
        <w:t>1601/91 du Conseil, les règlements (CE) n°2232/96 et (CE) n°110/2008 et la directive 2000/13/CE ;</w:t>
      </w:r>
    </w:p>
    <w:p w:rsidR="00624D51" w:rsidRDefault="00624D51" w:rsidP="00624D51">
      <w:pPr>
        <w:pStyle w:val="Lettre"/>
        <w:numPr>
          <w:ilvl w:val="0"/>
          <w:numId w:val="1"/>
        </w:numPr>
        <w:spacing w:after="120"/>
        <w:rPr>
          <w:sz w:val="24"/>
          <w:szCs w:val="24"/>
        </w:rPr>
      </w:pPr>
      <w:hyperlink r:id="rId14" w:tgtFrame="_blank" w:history="1">
        <w:r>
          <w:rPr>
            <w:rStyle w:val="Lienhypertexte"/>
            <w:sz w:val="24"/>
            <w:szCs w:val="24"/>
          </w:rPr>
          <w:t>Règlement (UE) n°1169/2011</w:t>
        </w:r>
      </w:hyperlink>
      <w:r>
        <w:rPr>
          <w:rStyle w:val="Lienhypertexte"/>
          <w:sz w:val="24"/>
          <w:szCs w:val="24"/>
        </w:rPr>
        <w:t xml:space="preserve"> </w:t>
      </w:r>
      <w:r>
        <w:rPr>
          <w:sz w:val="24"/>
          <w:szCs w:val="24"/>
        </w:rPr>
        <w:t>du Parlement européen et du Conseil du 25 octobre 2011 concernant l’information des consommateurs sur les denrées alimentaires, modifiant les règlements (CE) n°1924/2006 et (CE) n°1925/2006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n°608/2004 de la Commission ;</w:t>
      </w:r>
    </w:p>
    <w:p w:rsidR="00624D51" w:rsidRDefault="00624D51" w:rsidP="00624D51">
      <w:pPr>
        <w:pStyle w:val="Notedebasdepage"/>
        <w:numPr>
          <w:ilvl w:val="0"/>
          <w:numId w:val="1"/>
        </w:numPr>
        <w:spacing w:after="120"/>
        <w:jc w:val="both"/>
        <w:rPr>
          <w:rFonts w:ascii="Times New Roman" w:hAnsi="Times New Roman" w:cs="Times New Roman"/>
          <w:sz w:val="24"/>
          <w:szCs w:val="24"/>
        </w:rPr>
      </w:pPr>
      <w:hyperlink r:id="rId15" w:tgtFrame="_blank" w:history="1">
        <w:r>
          <w:rPr>
            <w:rStyle w:val="Lienhypertexte"/>
            <w:rFonts w:ascii="Times New Roman" w:hAnsi="Times New Roman" w:cs="Times New Roman"/>
            <w:sz w:val="24"/>
            <w:szCs w:val="24"/>
          </w:rPr>
          <w:t>Règlement (UE) n°2015/2283</w:t>
        </w:r>
      </w:hyperlink>
      <w:r>
        <w:rPr>
          <w:rFonts w:ascii="Times New Roman" w:hAnsi="Times New Roman" w:cs="Times New Roman"/>
          <w:sz w:val="24"/>
          <w:szCs w:val="24"/>
        </w:rPr>
        <w:t xml:space="preserve"> du Parlement européen et du Conseil du 25 novembre 2015 relatif aux nouveaux aliments,  modifiant le règlement (UE) n°1169/2011 du Parlement européen et du Conseil et abrogeant le règlement (CE) n°258/97 du Parlement européen et du Conseil et le règlement (CE) n°1852/2001 de la Commission.</w:t>
      </w:r>
    </w:p>
    <w:p w:rsidR="00624D51" w:rsidRDefault="00624D51" w:rsidP="00624D51">
      <w:pPr>
        <w:pStyle w:val="Notedebasdepage"/>
        <w:spacing w:after="120"/>
        <w:jc w:val="both"/>
        <w:rPr>
          <w:rFonts w:ascii="Times New Roman" w:hAnsi="Times New Roman" w:cs="Times New Roman"/>
          <w:sz w:val="24"/>
          <w:szCs w:val="24"/>
        </w:rPr>
      </w:pPr>
    </w:p>
    <w:p w:rsidR="00624D51" w:rsidRDefault="00624D51" w:rsidP="00624D51">
      <w:pPr>
        <w:pStyle w:val="Lettre"/>
        <w:rPr>
          <w:sz w:val="24"/>
          <w:szCs w:val="24"/>
        </w:rPr>
      </w:pPr>
    </w:p>
    <w:p w:rsidR="00624D51" w:rsidRDefault="00624D51" w:rsidP="00624D51">
      <w:pPr>
        <w:pStyle w:val="Lettre"/>
        <w:jc w:val="center"/>
        <w:rPr>
          <w:szCs w:val="22"/>
        </w:rPr>
      </w:pPr>
    </w:p>
    <w:p w:rsidR="00697F18" w:rsidRDefault="00697F18" w:rsidP="00624D51">
      <w:pPr>
        <w:spacing w:after="120" w:line="240" w:lineRule="auto"/>
        <w:jc w:val="both"/>
      </w:pPr>
      <w:bookmarkStart w:id="0" w:name="_GoBack"/>
      <w:bookmarkEnd w:id="0"/>
    </w:p>
    <w:sectPr w:rsidR="00697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006C2"/>
    <w:multiLevelType w:val="hybridMultilevel"/>
    <w:tmpl w:val="C49E69D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51"/>
    <w:rsid w:val="00624D51"/>
    <w:rsid w:val="00697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5CE5C-5EB1-4517-8F61-8BCBEFA9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D51"/>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24D51"/>
    <w:rPr>
      <w:color w:val="0563C1" w:themeColor="hyperlink"/>
      <w:u w:val="single"/>
    </w:rPr>
  </w:style>
  <w:style w:type="paragraph" w:styleId="Notedebasdepage">
    <w:name w:val="footnote text"/>
    <w:basedOn w:val="Normal"/>
    <w:link w:val="NotedebasdepageCar"/>
    <w:uiPriority w:val="99"/>
    <w:semiHidden/>
    <w:unhideWhenUsed/>
    <w:rsid w:val="00624D5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24D51"/>
    <w:rPr>
      <w:sz w:val="20"/>
      <w:szCs w:val="20"/>
    </w:rPr>
  </w:style>
  <w:style w:type="paragraph" w:customStyle="1" w:styleId="Lettre">
    <w:name w:val="Lettre"/>
    <w:basedOn w:val="Normal"/>
    <w:rsid w:val="00624D51"/>
    <w:pPr>
      <w:spacing w:after="180" w:line="240" w:lineRule="auto"/>
      <w:jc w:val="both"/>
    </w:pPr>
    <w:rPr>
      <w:rFonts w:ascii="Times New Roman" w:eastAsia="Times New Roman" w:hAnsi="Times New Roman" w:cs="Times New Roman"/>
      <w:szCs w:val="20"/>
      <w:lang w:eastAsia="fr-FR"/>
    </w:rPr>
  </w:style>
  <w:style w:type="table" w:styleId="Grilledutableau">
    <w:name w:val="Table Grid"/>
    <w:basedOn w:val="TableauNormal"/>
    <w:uiPriority w:val="39"/>
    <w:rsid w:val="00624D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FR/TXT/?uri=celex%3A32004R0852" TargetMode="External"/><Relationship Id="rId13" Type="http://schemas.openxmlformats.org/officeDocument/2006/relationships/hyperlink" Target="https://eur-lex.europa.eu/legal-content/FR/ALL/?uri=CELEX%3A32008R1334" TargetMode="External"/><Relationship Id="rId3" Type="http://schemas.openxmlformats.org/officeDocument/2006/relationships/settings" Target="settings.xml"/><Relationship Id="rId7" Type="http://schemas.openxmlformats.org/officeDocument/2006/relationships/hyperlink" Target="http://eur-lex.europa.eu/legal-content/FR/ALL/?uri=CELEX%3A32002R0178" TargetMode="External"/><Relationship Id="rId12" Type="http://schemas.openxmlformats.org/officeDocument/2006/relationships/hyperlink" Target="https://eur-lex.europa.eu/legal-content/FR/TXT/?uri=celex%3A32008R133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egifrance.gouv.fr/affichTexte.do?cidTexte=JORFTEXT000000638341" TargetMode="External"/><Relationship Id="rId11" Type="http://schemas.openxmlformats.org/officeDocument/2006/relationships/hyperlink" Target="https://eur-lex.europa.eu/legal-content/FR/ALL/?uri=celex:32006R1925" TargetMode="External"/><Relationship Id="rId5" Type="http://schemas.openxmlformats.org/officeDocument/2006/relationships/hyperlink" Target="https://eur-lex.europa.eu/legal-content/FR/TXT/PDF/?uri=CELEX:02002L0046-20220930&amp;from=EN" TargetMode="External"/><Relationship Id="rId15" Type="http://schemas.openxmlformats.org/officeDocument/2006/relationships/hyperlink" Target="https://eur-lex.europa.eu/legal-content/FR/TXT/?uri=OJ%3AJOL_2015_327_R_0001" TargetMode="External"/><Relationship Id="rId10" Type="http://schemas.openxmlformats.org/officeDocument/2006/relationships/hyperlink" Target="http://eur-lex.europa.eu/legal-content/FR/TXT/?uri=celex:32006R1924" TargetMode="External"/><Relationship Id="rId4" Type="http://schemas.openxmlformats.org/officeDocument/2006/relationships/webSettings" Target="webSettings.xml"/><Relationship Id="rId9" Type="http://schemas.openxmlformats.org/officeDocument/2006/relationships/hyperlink" Target="https://eur-lex.europa.eu/legal-content/fr/ALL/?uri=CELEX%3A32006R1881" TargetMode="External"/><Relationship Id="rId14" Type="http://schemas.openxmlformats.org/officeDocument/2006/relationships/hyperlink" Target="http://eur-lex.europa.eu/legal-content/fr/ALL/?uri=CELEX:32011R116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3732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VISTE-MARTIN</dc:creator>
  <cp:keywords/>
  <dc:description/>
  <cp:lastModifiedBy>Caroline VISTE-MARTIN</cp:lastModifiedBy>
  <cp:revision>1</cp:revision>
  <dcterms:created xsi:type="dcterms:W3CDTF">2023-02-27T14:19:00Z</dcterms:created>
  <dcterms:modified xsi:type="dcterms:W3CDTF">2023-02-27T14:20:00Z</dcterms:modified>
</cp:coreProperties>
</file>