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080" w:type="dxa"/>
        <w:tblInd w:w="101" w:type="dxa"/>
        <w:tblCellMar>
          <w:left w:w="93" w:type="dxa"/>
        </w:tblCellMar>
        <w:tblLook w:val="04A0" w:firstRow="1" w:lastRow="0" w:firstColumn="1" w:lastColumn="0" w:noHBand="0" w:noVBand="1"/>
      </w:tblPr>
      <w:tblGrid>
        <w:gridCol w:w="9080"/>
      </w:tblGrid>
      <w:tr w:rsidR="00D47A98">
        <w:tc>
          <w:tcPr>
            <w:tcW w:w="9080" w:type="dxa"/>
            <w:shd w:val="clear" w:color="auto" w:fill="auto"/>
            <w:tcMar>
              <w:left w:w="93" w:type="dxa"/>
            </w:tcMar>
          </w:tcPr>
          <w:p w:rsidR="00D47A98" w:rsidRDefault="00C504E0">
            <w:pPr>
              <w:spacing w:after="0"/>
              <w:jc w:val="center"/>
              <w:rPr>
                <w:b/>
                <w:bCs/>
              </w:rPr>
            </w:pPr>
            <w:r>
              <w:rPr>
                <w:rFonts w:ascii="Arial" w:hAnsi="Arial" w:cs="Arial"/>
                <w:b/>
                <w:bCs/>
              </w:rPr>
              <w:t xml:space="preserve">Convention de partenariat </w:t>
            </w:r>
          </w:p>
          <w:p w:rsidR="00D47A98" w:rsidRDefault="00D47A98">
            <w:pPr>
              <w:spacing w:after="0"/>
              <w:jc w:val="center"/>
              <w:rPr>
                <w:rFonts w:ascii="Arial" w:hAnsi="Arial" w:cs="Arial"/>
                <w:b/>
                <w:bCs/>
              </w:rPr>
            </w:pPr>
          </w:p>
          <w:p w:rsidR="00D47A98" w:rsidRDefault="00C504E0">
            <w:pPr>
              <w:spacing w:after="0"/>
              <w:jc w:val="center"/>
              <w:rPr>
                <w:b/>
                <w:bCs/>
              </w:rPr>
            </w:pPr>
            <w:proofErr w:type="gramStart"/>
            <w:r>
              <w:rPr>
                <w:rFonts w:ascii="Arial" w:hAnsi="Arial" w:cs="Arial"/>
                <w:b/>
                <w:bCs/>
              </w:rPr>
              <w:t>pour</w:t>
            </w:r>
            <w:proofErr w:type="gramEnd"/>
            <w:r>
              <w:rPr>
                <w:rFonts w:ascii="Arial" w:hAnsi="Arial" w:cs="Arial"/>
                <w:b/>
                <w:bCs/>
              </w:rPr>
              <w:t xml:space="preserve"> l’action collective</w:t>
            </w:r>
          </w:p>
          <w:p w:rsidR="00D47A98" w:rsidRDefault="00D47A98">
            <w:pPr>
              <w:spacing w:after="0"/>
              <w:jc w:val="center"/>
              <w:rPr>
                <w:rFonts w:ascii="Arial" w:hAnsi="Arial" w:cs="Arial"/>
                <w:b/>
                <w:bCs/>
              </w:rPr>
            </w:pPr>
          </w:p>
          <w:p w:rsidR="00D47A98" w:rsidRDefault="00C504E0">
            <w:pPr>
              <w:spacing w:after="0"/>
              <w:jc w:val="center"/>
              <w:rPr>
                <w:b/>
                <w:bCs/>
              </w:rPr>
            </w:pPr>
            <w:r>
              <w:rPr>
                <w:rFonts w:ascii="Arial" w:hAnsi="Arial" w:cs="Arial"/>
                <w:b/>
                <w:bCs/>
                <w:shd w:val="clear" w:color="auto" w:fill="FFFF00"/>
              </w:rPr>
              <w:t>« XXXXXXXXX »</w:t>
            </w:r>
          </w:p>
          <w:p w:rsidR="00D47A98" w:rsidRDefault="00D47A98">
            <w:pPr>
              <w:spacing w:after="0"/>
              <w:jc w:val="center"/>
              <w:rPr>
                <w:rFonts w:ascii="Arial" w:hAnsi="Arial" w:cs="Arial"/>
              </w:rPr>
            </w:pPr>
          </w:p>
        </w:tc>
      </w:tr>
    </w:tbl>
    <w:p w:rsidR="00D47A98" w:rsidRDefault="00D47A98">
      <w:pPr>
        <w:spacing w:after="0"/>
        <w:rPr>
          <w:rFonts w:ascii="Tahoma" w:hAnsi="Tahoma" w:cs="Arial"/>
        </w:rPr>
      </w:pPr>
    </w:p>
    <w:tbl>
      <w:tblPr>
        <w:tblW w:w="9072"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9072"/>
      </w:tblGrid>
      <w:tr w:rsidR="00D47A98">
        <w:tc>
          <w:tcPr>
            <w:tcW w:w="9072" w:type="dxa"/>
            <w:tcBorders>
              <w:top w:val="single" w:sz="2" w:space="0" w:color="000001"/>
              <w:left w:val="single" w:sz="2" w:space="0" w:color="000001"/>
              <w:bottom w:val="single" w:sz="2" w:space="0" w:color="000001"/>
              <w:right w:val="single" w:sz="2" w:space="0" w:color="000001"/>
            </w:tcBorders>
            <w:shd w:val="clear" w:color="auto" w:fill="CCCCCC"/>
            <w:tcMar>
              <w:left w:w="51" w:type="dxa"/>
            </w:tcMar>
          </w:tcPr>
          <w:p w:rsidR="00D47A98" w:rsidRDefault="00C504E0">
            <w:pPr>
              <w:pStyle w:val="normalformulaire"/>
              <w:jc w:val="center"/>
              <w:rPr>
                <w:b/>
                <w:bCs/>
                <w:sz w:val="18"/>
                <w:szCs w:val="18"/>
              </w:rPr>
            </w:pPr>
            <w:r>
              <w:rPr>
                <w:b/>
                <w:bCs/>
                <w:sz w:val="18"/>
                <w:szCs w:val="18"/>
              </w:rPr>
              <w:t>CADRE RÉSERVÉ À L’ADMINISTRATION</w:t>
            </w:r>
          </w:p>
          <w:p w:rsidR="00D47A98" w:rsidRDefault="00C504E0">
            <w:pPr>
              <w:pStyle w:val="normalformulaire"/>
              <w:rPr>
                <w:sz w:val="18"/>
                <w:szCs w:val="18"/>
              </w:rPr>
            </w:pPr>
            <w:bookmarkStart w:id="0" w:name="__DdeLink__7498_1805859412"/>
            <w:bookmarkEnd w:id="0"/>
            <w:r>
              <w:rPr>
                <w:sz w:val="18"/>
                <w:szCs w:val="18"/>
              </w:rPr>
              <w:t>N° de dossier ORISIS: |__|__|__|__|__|__|__|__|__|__|__|__|__|__|__|</w:t>
            </w:r>
          </w:p>
        </w:tc>
      </w:tr>
    </w:tbl>
    <w:p w:rsidR="00D47A98" w:rsidRDefault="00D47A98">
      <w:pPr>
        <w:spacing w:after="0"/>
        <w:rPr>
          <w:rFonts w:ascii="Tahoma" w:hAnsi="Tahoma" w:cs="Arial"/>
        </w:rPr>
      </w:pPr>
    </w:p>
    <w:p w:rsidR="00D47A98" w:rsidRDefault="00D47A98">
      <w:pPr>
        <w:spacing w:after="0"/>
        <w:rPr>
          <w:rFonts w:ascii="Tahoma" w:hAnsi="Tahoma" w:cs="Arial"/>
        </w:rPr>
      </w:pPr>
    </w:p>
    <w:p w:rsidR="00D47A98" w:rsidRDefault="00C504E0">
      <w:pPr>
        <w:spacing w:after="0"/>
      </w:pPr>
      <w:r>
        <w:rPr>
          <w:rFonts w:ascii="Tahoma" w:hAnsi="Tahoma"/>
        </w:rPr>
        <w:t xml:space="preserve">Entre </w:t>
      </w:r>
      <w:r>
        <w:rPr>
          <w:rFonts w:ascii="Tahoma" w:hAnsi="Tahoma"/>
          <w:shd w:val="clear" w:color="auto" w:fill="FFFF00"/>
        </w:rPr>
        <w:t>[Organisme partenaire]</w:t>
      </w:r>
      <w:r>
        <w:rPr>
          <w:rFonts w:ascii="Tahoma" w:hAnsi="Tahoma"/>
        </w:rPr>
        <w:t xml:space="preserve"> représenté par </w:t>
      </w:r>
      <w:r>
        <w:rPr>
          <w:rFonts w:ascii="Tahoma" w:hAnsi="Tahoma"/>
          <w:shd w:val="clear" w:color="auto" w:fill="FFFF00"/>
        </w:rPr>
        <w:t xml:space="preserve">[Mr ou Mme XXX] </w:t>
      </w:r>
      <w:r>
        <w:rPr>
          <w:rFonts w:ascii="Tahoma" w:hAnsi="Tahoma"/>
        </w:rPr>
        <w:t xml:space="preserve">en qualité de </w:t>
      </w:r>
      <w:r>
        <w:rPr>
          <w:rFonts w:ascii="Tahoma" w:hAnsi="Tahoma"/>
          <w:shd w:val="clear" w:color="auto" w:fill="FFFF00"/>
        </w:rPr>
        <w:t>[fonction]</w:t>
      </w:r>
      <w:r>
        <w:rPr>
          <w:rFonts w:ascii="Tahoma" w:hAnsi="Tahoma"/>
        </w:rPr>
        <w:t>, et désigné sous le terme</w:t>
      </w:r>
      <w:r>
        <w:rPr>
          <w:rFonts w:ascii="Tahoma" w:hAnsi="Tahoma"/>
          <w:b/>
          <w:bCs/>
        </w:rPr>
        <w:t xml:space="preserve"> « porteur transparent » de l'action collective,</w:t>
      </w:r>
      <w:r>
        <w:rPr>
          <w:rFonts w:ascii="Tahoma" w:hAnsi="Tahoma"/>
        </w:rPr>
        <w:t xml:space="preserve"> d’une part,</w:t>
      </w:r>
    </w:p>
    <w:p w:rsidR="00D47A98" w:rsidRDefault="00D47A98">
      <w:pPr>
        <w:spacing w:after="0"/>
        <w:rPr>
          <w:rFonts w:ascii="Tahoma" w:hAnsi="Tahoma"/>
        </w:rPr>
      </w:pPr>
    </w:p>
    <w:p w:rsidR="00D47A98" w:rsidRDefault="00D47A98">
      <w:pPr>
        <w:spacing w:after="0"/>
        <w:rPr>
          <w:rFonts w:ascii="Tahoma" w:hAnsi="Tahoma"/>
        </w:rPr>
      </w:pPr>
    </w:p>
    <w:p w:rsidR="00D47A98" w:rsidRDefault="00C504E0">
      <w:pPr>
        <w:spacing w:after="0"/>
        <w:rPr>
          <w:rFonts w:ascii="Tahoma" w:hAnsi="Tahoma"/>
        </w:rPr>
      </w:pPr>
      <w:r>
        <w:rPr>
          <w:rFonts w:ascii="Tahoma" w:hAnsi="Tahoma"/>
        </w:rPr>
        <w:t>Adresse du porteur transparent_________________________________________________</w:t>
      </w:r>
    </w:p>
    <w:p w:rsidR="00D47A98" w:rsidRDefault="00C504E0">
      <w:pPr>
        <w:spacing w:after="0"/>
        <w:rPr>
          <w:rFonts w:ascii="Tahoma" w:hAnsi="Tahoma"/>
        </w:rPr>
      </w:pPr>
      <w:r>
        <w:rPr>
          <w:rFonts w:ascii="Tahoma" w:hAnsi="Tahoma"/>
        </w:rPr>
        <w:t>N°SIRET___________________________________________________________________</w:t>
      </w:r>
    </w:p>
    <w:p w:rsidR="00D47A98" w:rsidRDefault="00C504E0">
      <w:pPr>
        <w:spacing w:after="0"/>
        <w:rPr>
          <w:rFonts w:ascii="Tahoma" w:hAnsi="Tahoma"/>
        </w:rPr>
      </w:pPr>
      <w:r>
        <w:rPr>
          <w:rFonts w:ascii="Tahoma" w:hAnsi="Tahoma"/>
        </w:rPr>
        <w:t>Et</w:t>
      </w:r>
    </w:p>
    <w:p w:rsidR="00D47A98" w:rsidRDefault="00D47A98">
      <w:pPr>
        <w:spacing w:after="0"/>
        <w:rPr>
          <w:rFonts w:ascii="Tahoma" w:hAnsi="Tahoma"/>
        </w:rPr>
      </w:pPr>
    </w:p>
    <w:p w:rsidR="00D47A98" w:rsidRDefault="00C504E0">
      <w:pPr>
        <w:spacing w:after="0"/>
        <w:rPr>
          <w:rFonts w:ascii="Tahoma" w:hAnsi="Tahoma"/>
        </w:rPr>
      </w:pPr>
      <w:r>
        <w:rPr>
          <w:rFonts w:ascii="Tahoma" w:hAnsi="Tahoma"/>
          <w:shd w:val="clear" w:color="auto" w:fill="FFFF00"/>
        </w:rPr>
        <w:t>« Organisme partenaire n°2 »,</w:t>
      </w:r>
      <w:r>
        <w:rPr>
          <w:rFonts w:ascii="Tahoma" w:hAnsi="Tahoma"/>
        </w:rPr>
        <w:t xml:space="preserve"> représenté par </w:t>
      </w:r>
      <w:r>
        <w:rPr>
          <w:rFonts w:ascii="Tahoma" w:hAnsi="Tahoma"/>
          <w:shd w:val="clear" w:color="auto" w:fill="FFFF00"/>
        </w:rPr>
        <w:t>[Mr ou Mme XXX]</w:t>
      </w:r>
      <w:r>
        <w:rPr>
          <w:rFonts w:ascii="Tahoma" w:hAnsi="Tahoma"/>
        </w:rPr>
        <w:t xml:space="preserve"> en qualité de</w:t>
      </w:r>
      <w:r>
        <w:rPr>
          <w:rFonts w:ascii="Tahoma" w:hAnsi="Tahoma"/>
          <w:shd w:val="clear" w:color="auto" w:fill="FFFF00"/>
        </w:rPr>
        <w:t xml:space="preserve"> [fonction],</w:t>
      </w:r>
      <w:r>
        <w:rPr>
          <w:rFonts w:ascii="Tahoma" w:hAnsi="Tahoma"/>
        </w:rPr>
        <w:t xml:space="preserve"> ci-après désigné sous le terme « </w:t>
      </w:r>
      <w:proofErr w:type="gramStart"/>
      <w:r>
        <w:rPr>
          <w:rFonts w:ascii="Tahoma" w:hAnsi="Tahoma"/>
        </w:rPr>
        <w:t>partenaire»</w:t>
      </w:r>
      <w:proofErr w:type="gramEnd"/>
      <w:r>
        <w:rPr>
          <w:rFonts w:ascii="Tahoma" w:hAnsi="Tahoma"/>
        </w:rPr>
        <w:t>, d’autre part.</w:t>
      </w:r>
    </w:p>
    <w:p w:rsidR="00D47A98" w:rsidRDefault="00C504E0">
      <w:pPr>
        <w:spacing w:after="0"/>
        <w:rPr>
          <w:rFonts w:ascii="Tahoma" w:hAnsi="Tahoma"/>
        </w:rPr>
      </w:pPr>
      <w:r>
        <w:rPr>
          <w:rFonts w:ascii="Tahoma" w:hAnsi="Tahoma"/>
        </w:rPr>
        <w:t>Adresse du partenaire_________________________________________________________</w:t>
      </w:r>
    </w:p>
    <w:p w:rsidR="00D47A98" w:rsidRDefault="00C504E0">
      <w:pPr>
        <w:spacing w:after="0"/>
        <w:rPr>
          <w:rFonts w:ascii="Tahoma" w:hAnsi="Tahoma"/>
        </w:rPr>
      </w:pPr>
      <w:r>
        <w:rPr>
          <w:rFonts w:ascii="Tahoma" w:hAnsi="Tahoma"/>
        </w:rPr>
        <w:t>N°SIRET____________________________________________________________________</w:t>
      </w:r>
    </w:p>
    <w:p w:rsidR="00D47A98" w:rsidRDefault="00D47A98">
      <w:pPr>
        <w:spacing w:after="0"/>
        <w:rPr>
          <w:rFonts w:ascii="Tahoma" w:hAnsi="Tahoma"/>
        </w:rPr>
      </w:pPr>
    </w:p>
    <w:p w:rsidR="00D47A98" w:rsidRDefault="00C504E0">
      <w:pPr>
        <w:spacing w:after="0"/>
        <w:rPr>
          <w:rFonts w:ascii="Tahoma" w:hAnsi="Tahoma"/>
        </w:rPr>
      </w:pPr>
      <w:r>
        <w:rPr>
          <w:rFonts w:ascii="Tahoma" w:hAnsi="Tahoma"/>
          <w:b/>
          <w:bCs/>
        </w:rPr>
        <w:t>Visas :</w:t>
      </w:r>
      <w:r>
        <w:rPr>
          <w:rFonts w:ascii="Tahoma" w:hAnsi="Tahoma"/>
        </w:rPr>
        <w:t xml:space="preserve"> </w:t>
      </w:r>
    </w:p>
    <w:p w:rsidR="00D47A98" w:rsidRDefault="00D47A98">
      <w:pPr>
        <w:spacing w:after="0"/>
        <w:rPr>
          <w:rFonts w:ascii="Tahoma" w:hAnsi="Tahoma"/>
        </w:rPr>
      </w:pPr>
    </w:p>
    <w:tbl>
      <w:tblPr>
        <w:tblW w:w="9165" w:type="dxa"/>
        <w:tblInd w:w="49" w:type="dxa"/>
        <w:tblCellMar>
          <w:left w:w="70" w:type="dxa"/>
          <w:right w:w="70" w:type="dxa"/>
        </w:tblCellMar>
        <w:tblLook w:val="04A0" w:firstRow="1" w:lastRow="0" w:firstColumn="1" w:lastColumn="0" w:noHBand="0" w:noVBand="1"/>
      </w:tblPr>
      <w:tblGrid>
        <w:gridCol w:w="9165"/>
      </w:tblGrid>
      <w:tr w:rsidR="00D47A98" w:rsidTr="003240C5">
        <w:trPr>
          <w:trHeight w:val="245"/>
        </w:trPr>
        <w:tc>
          <w:tcPr>
            <w:tcW w:w="9165" w:type="dxa"/>
            <w:shd w:val="clear" w:color="auto" w:fill="auto"/>
          </w:tcPr>
          <w:p w:rsidR="00D47A98" w:rsidRDefault="00C504E0">
            <w:pPr>
              <w:numPr>
                <w:ilvl w:val="0"/>
                <w:numId w:val="1"/>
              </w:numPr>
              <w:spacing w:line="240" w:lineRule="exact"/>
              <w:rPr>
                <w:rFonts w:ascii="Tahoma" w:eastAsia="Helvetica Linotype" w:hAnsi="Tahoma" w:cs="Helvetica Linotype"/>
                <w:color w:val="000000"/>
                <w:shd w:val="clear" w:color="auto" w:fill="FFFFFF"/>
                <w:lang w:eastAsia="fr-FR"/>
              </w:rPr>
            </w:pPr>
            <w:r>
              <w:rPr>
                <w:rFonts w:ascii="Tahoma" w:eastAsia="Helvetica Linotype" w:hAnsi="Tahoma" w:cs="Helvetica Linotype"/>
                <w:color w:val="000000"/>
                <w:shd w:val="clear" w:color="auto" w:fill="FFFFFF"/>
                <w:lang w:eastAsia="fr-FR"/>
              </w:rPr>
              <w:t>Le traité sur le fonctionnement de l’Union Européenne (TFUE) et notamment les articles 107 et 108 relatifs aux aides accordées par les États,</w:t>
            </w:r>
          </w:p>
        </w:tc>
      </w:tr>
      <w:tr w:rsidR="00D47A98" w:rsidTr="003240C5">
        <w:trPr>
          <w:trHeight w:val="245"/>
        </w:trPr>
        <w:tc>
          <w:tcPr>
            <w:tcW w:w="9165" w:type="dxa"/>
            <w:shd w:val="clear" w:color="auto" w:fill="auto"/>
          </w:tcPr>
          <w:p w:rsidR="00D47A98" w:rsidRDefault="00C504E0">
            <w:pPr>
              <w:numPr>
                <w:ilvl w:val="0"/>
                <w:numId w:val="1"/>
              </w:numPr>
              <w:spacing w:line="240" w:lineRule="exact"/>
              <w:jc w:val="both"/>
              <w:rPr>
                <w:rFonts w:ascii="Tahoma" w:eastAsia="Helvetica Linotype" w:hAnsi="Tahoma" w:cs="Helvetica Linotype"/>
                <w:color w:val="000000"/>
                <w:shd w:val="clear" w:color="auto" w:fill="FFFFFF"/>
                <w:lang w:eastAsia="fr-FR"/>
              </w:rPr>
            </w:pPr>
            <w:r>
              <w:rPr>
                <w:rFonts w:ascii="Tahoma" w:eastAsia="Helvetica Linotype" w:hAnsi="Tahoma" w:cs="Helvetica Linotype"/>
                <w:color w:val="000000"/>
                <w:shd w:val="clear" w:color="auto" w:fill="FFFFFF"/>
                <w:lang w:eastAsia="fr-FR"/>
              </w:rPr>
              <w:t>Le Règlement (UE) n° 651/2014 de la Commission du 17 juin 2014 déclarant certaines catégories d'aides compatibles avec le marché intérieur en application des articles 107 et 108 du traité, ci-après dénommé « RGEC »,</w:t>
            </w:r>
          </w:p>
          <w:p w:rsidR="00D47A98" w:rsidRDefault="00C504E0">
            <w:pPr>
              <w:numPr>
                <w:ilvl w:val="0"/>
                <w:numId w:val="1"/>
              </w:numPr>
              <w:spacing w:line="240" w:lineRule="exact"/>
              <w:jc w:val="both"/>
              <w:rPr>
                <w:rFonts w:ascii="Tahoma" w:eastAsia="Helvetica Linotype" w:hAnsi="Tahoma" w:cs="Helvetica Linotype"/>
                <w:color w:val="000000"/>
                <w:shd w:val="clear" w:color="auto" w:fill="FFFFFF"/>
                <w:lang w:eastAsia="fr-FR"/>
              </w:rPr>
            </w:pPr>
            <w:r>
              <w:rPr>
                <w:rFonts w:ascii="Tahoma" w:eastAsia="Helvetica Linotype" w:hAnsi="Tahoma" w:cs="Helvetica Linotype"/>
                <w:color w:val="000000"/>
                <w:shd w:val="clear" w:color="auto" w:fill="FFFFFF"/>
                <w:lang w:eastAsia="fr-FR"/>
              </w:rPr>
              <w:t xml:space="preserve">Le Règlement (UE) n° 1407/2013 de la Commission du 18 décembre 2013 relatif à l’application des articles 107 et 108 du traité sur le fonctionnement de l’Union européenne aux aides de </w:t>
            </w:r>
            <w:proofErr w:type="spellStart"/>
            <w:r>
              <w:rPr>
                <w:rFonts w:ascii="Tahoma" w:eastAsia="Helvetica Linotype" w:hAnsi="Tahoma" w:cs="Helvetica Linotype"/>
                <w:color w:val="000000"/>
                <w:shd w:val="clear" w:color="auto" w:fill="FFFFFF"/>
                <w:lang w:eastAsia="fr-FR"/>
              </w:rPr>
              <w:t>minimis</w:t>
            </w:r>
            <w:proofErr w:type="spellEnd"/>
            <w:r>
              <w:rPr>
                <w:rFonts w:ascii="Tahoma" w:eastAsia="Helvetica Linotype" w:hAnsi="Tahoma" w:cs="Helvetica Linotype"/>
                <w:color w:val="000000"/>
                <w:shd w:val="clear" w:color="auto" w:fill="FFFFFF"/>
                <w:lang w:eastAsia="fr-FR"/>
              </w:rPr>
              <w:t xml:space="preserve">, ci-après dénommé « règlement de </w:t>
            </w:r>
            <w:proofErr w:type="spellStart"/>
            <w:r>
              <w:rPr>
                <w:rFonts w:ascii="Tahoma" w:eastAsia="Helvetica Linotype" w:hAnsi="Tahoma" w:cs="Helvetica Linotype"/>
                <w:color w:val="000000"/>
                <w:shd w:val="clear" w:color="auto" w:fill="FFFFFF"/>
                <w:lang w:eastAsia="fr-FR"/>
              </w:rPr>
              <w:t>minimis</w:t>
            </w:r>
            <w:proofErr w:type="spellEnd"/>
            <w:r>
              <w:rPr>
                <w:rFonts w:ascii="Tahoma" w:eastAsia="Helvetica Linotype" w:hAnsi="Tahoma" w:cs="Helvetica Linotype"/>
                <w:color w:val="000000"/>
                <w:shd w:val="clear" w:color="auto" w:fill="FFFFFF"/>
                <w:lang w:eastAsia="fr-FR"/>
              </w:rPr>
              <w:t xml:space="preserve"> général »,</w:t>
            </w:r>
          </w:p>
          <w:p w:rsidR="00D47A98" w:rsidRDefault="00C504E0">
            <w:pPr>
              <w:numPr>
                <w:ilvl w:val="0"/>
                <w:numId w:val="1"/>
              </w:numPr>
              <w:spacing w:line="240" w:lineRule="exact"/>
              <w:jc w:val="both"/>
              <w:rPr>
                <w:rFonts w:ascii="Tahoma" w:eastAsia="Helvetica Linotype" w:hAnsi="Tahoma" w:cs="Helvetica Linotype"/>
                <w:color w:val="000000"/>
                <w:shd w:val="clear" w:color="auto" w:fill="FFFFFF"/>
                <w:lang w:eastAsia="fr-FR"/>
              </w:rPr>
            </w:pPr>
            <w:r>
              <w:rPr>
                <w:rFonts w:ascii="Tahoma" w:eastAsia="Helvetica Linotype" w:hAnsi="Tahoma" w:cs="Helvetica Linotype"/>
                <w:color w:val="000000"/>
                <w:shd w:val="clear" w:color="auto" w:fill="FFFFFF"/>
                <w:lang w:eastAsia="fr-FR"/>
              </w:rPr>
              <w:t xml:space="preserve">Le Règlement (UE) n ° 702/2014 de la Commission du 25 juin 2014 déclarant certaines catégories d'aides, dans les secteurs agricole et forestier et dans les zones rurales, compatibles avec le marché intérieur, en application des articles 107 et 108 du traité sur le fonctionnement de l'Union européenne, </w:t>
            </w:r>
            <w:proofErr w:type="spellStart"/>
            <w:r>
              <w:rPr>
                <w:rFonts w:ascii="Tahoma" w:eastAsia="Helvetica Linotype" w:hAnsi="Tahoma" w:cs="Helvetica Linotype"/>
                <w:color w:val="000000"/>
                <w:shd w:val="clear" w:color="auto" w:fill="FFFFFF"/>
                <w:lang w:eastAsia="fr-FR"/>
              </w:rPr>
              <w:t>ci après</w:t>
            </w:r>
            <w:proofErr w:type="spellEnd"/>
            <w:r>
              <w:rPr>
                <w:rFonts w:ascii="Tahoma" w:eastAsia="Helvetica Linotype" w:hAnsi="Tahoma" w:cs="Helvetica Linotype"/>
                <w:color w:val="000000"/>
                <w:shd w:val="clear" w:color="auto" w:fill="FFFFFF"/>
                <w:lang w:eastAsia="fr-FR"/>
              </w:rPr>
              <w:t xml:space="preserve"> dénommé « REAF »</w:t>
            </w:r>
          </w:p>
          <w:p w:rsidR="00D47A98" w:rsidRDefault="00C504E0">
            <w:pPr>
              <w:numPr>
                <w:ilvl w:val="0"/>
                <w:numId w:val="1"/>
              </w:numPr>
              <w:spacing w:line="240" w:lineRule="exact"/>
              <w:jc w:val="both"/>
              <w:rPr>
                <w:rFonts w:ascii="Tahoma" w:eastAsia="Helvetica Linotype" w:hAnsi="Tahoma" w:cs="Helvetica Linotype"/>
                <w:color w:val="000000"/>
                <w:shd w:val="clear" w:color="auto" w:fill="FFFFFF"/>
                <w:lang w:eastAsia="fr-FR"/>
              </w:rPr>
            </w:pPr>
            <w:r>
              <w:rPr>
                <w:rFonts w:ascii="Tahoma" w:eastAsia="Helvetica Linotype" w:hAnsi="Tahoma" w:cs="Helvetica Linotype"/>
                <w:color w:val="000000"/>
                <w:shd w:val="clear" w:color="auto" w:fill="FFFFFF"/>
                <w:lang w:eastAsia="fr-FR"/>
              </w:rPr>
              <w:t>Les Lignes directrices de l'Union européenne concernant les aides d'État dans les secteurs agricole et forestier et dans les zones rurales 2014-2020 (2014/C 204/01) du 1</w:t>
            </w:r>
            <w:r>
              <w:rPr>
                <w:rFonts w:ascii="Tahoma" w:eastAsia="Helvetica Linotype" w:hAnsi="Tahoma" w:cs="Helvetica Linotype"/>
                <w:color w:val="000000"/>
                <w:shd w:val="clear" w:color="auto" w:fill="FFFFFF"/>
                <w:vertAlign w:val="superscript"/>
                <w:lang w:eastAsia="fr-FR"/>
              </w:rPr>
              <w:t>er</w:t>
            </w:r>
            <w:r>
              <w:rPr>
                <w:rFonts w:ascii="Tahoma" w:eastAsia="Helvetica Linotype" w:hAnsi="Tahoma" w:cs="Helvetica Linotype"/>
                <w:color w:val="000000"/>
                <w:shd w:val="clear" w:color="auto" w:fill="FFFFFF"/>
                <w:lang w:eastAsia="fr-FR"/>
              </w:rPr>
              <w:t xml:space="preserve"> juillet 2014, </w:t>
            </w:r>
            <w:proofErr w:type="spellStart"/>
            <w:r>
              <w:rPr>
                <w:rFonts w:ascii="Tahoma" w:eastAsia="Helvetica Linotype" w:hAnsi="Tahoma" w:cs="Helvetica Linotype"/>
                <w:color w:val="000000"/>
                <w:shd w:val="clear" w:color="auto" w:fill="FFFFFF"/>
                <w:lang w:eastAsia="fr-FR"/>
              </w:rPr>
              <w:t>ci après</w:t>
            </w:r>
            <w:proofErr w:type="spellEnd"/>
            <w:r>
              <w:rPr>
                <w:rFonts w:ascii="Tahoma" w:eastAsia="Helvetica Linotype" w:hAnsi="Tahoma" w:cs="Helvetica Linotype"/>
                <w:color w:val="000000"/>
                <w:shd w:val="clear" w:color="auto" w:fill="FFFFFF"/>
                <w:lang w:eastAsia="fr-FR"/>
              </w:rPr>
              <w:t xml:space="preserve"> dénommé « LDAF »</w:t>
            </w:r>
          </w:p>
          <w:p w:rsidR="00D47A98" w:rsidRDefault="00C504E0">
            <w:pPr>
              <w:numPr>
                <w:ilvl w:val="0"/>
                <w:numId w:val="1"/>
              </w:numPr>
              <w:spacing w:line="240" w:lineRule="exact"/>
              <w:jc w:val="both"/>
              <w:rPr>
                <w:rFonts w:ascii="Tahoma" w:eastAsia="Helvetica Linotype" w:hAnsi="Tahoma" w:cs="Helvetica Linotype"/>
                <w:color w:val="000000"/>
                <w:shd w:val="clear" w:color="auto" w:fill="FFFFFF"/>
                <w:lang w:eastAsia="fr-FR"/>
              </w:rPr>
            </w:pPr>
            <w:r>
              <w:rPr>
                <w:rFonts w:ascii="Tahoma" w:eastAsia="Helvetica Linotype" w:hAnsi="Tahoma" w:cs="Helvetica Linotype"/>
                <w:color w:val="000000"/>
                <w:shd w:val="clear" w:color="auto" w:fill="FFFFFF"/>
                <w:lang w:eastAsia="fr-FR"/>
              </w:rPr>
              <w:t>Le décret n° 2018-514 du 25 juin 2018 relatif aux subventions de l'Etat pour des projets d'investissement,</w:t>
            </w:r>
          </w:p>
          <w:p w:rsidR="00D47A98" w:rsidRDefault="00C504E0">
            <w:pPr>
              <w:numPr>
                <w:ilvl w:val="0"/>
                <w:numId w:val="1"/>
              </w:numPr>
              <w:spacing w:line="240" w:lineRule="exact"/>
              <w:jc w:val="both"/>
            </w:pPr>
            <w:r>
              <w:rPr>
                <w:rFonts w:ascii="Tahoma" w:eastAsia="Helvetica Linotype" w:hAnsi="Tahoma" w:cs="Helvetica Linotype"/>
                <w:color w:val="000000"/>
                <w:shd w:val="clear" w:color="auto" w:fill="FFFFFF"/>
                <w:lang w:eastAsia="fr-FR"/>
              </w:rPr>
              <w:lastRenderedPageBreak/>
              <w:t>L'a</w:t>
            </w:r>
            <w:r>
              <w:rPr>
                <w:rStyle w:val="Accentuationforte"/>
                <w:rFonts w:ascii="Tahoma" w:eastAsia="Helvetica Linotype" w:hAnsi="Tahoma" w:cs="Helvetica Linotype"/>
                <w:b w:val="0"/>
                <w:bCs w:val="0"/>
                <w:color w:val="000000"/>
                <w:shd w:val="clear" w:color="auto" w:fill="FFFFFF"/>
                <w:lang w:eastAsia="fr-FR"/>
              </w:rPr>
              <w:t>rrêté du 21 août 2018 pris en application de l'article 3 du décret n° 2018-514 du 25 juin 2018 relatif aux subventions de l'Etat pour des projets d'investissement</w:t>
            </w:r>
            <w:r>
              <w:rPr>
                <w:rFonts w:ascii="Tahoma" w:eastAsia="Helvetica Linotype" w:hAnsi="Tahoma" w:cs="Helvetica Linotype"/>
                <w:color w:val="000000"/>
                <w:shd w:val="clear" w:color="auto" w:fill="FFFFFF"/>
                <w:lang w:eastAsia="fr-FR"/>
              </w:rPr>
              <w:t xml:space="preserve"> </w:t>
            </w:r>
          </w:p>
          <w:p w:rsidR="00D47A98" w:rsidRDefault="00C504E0">
            <w:pPr>
              <w:numPr>
                <w:ilvl w:val="0"/>
                <w:numId w:val="1"/>
              </w:numPr>
              <w:spacing w:line="240" w:lineRule="exact"/>
              <w:jc w:val="both"/>
              <w:rPr>
                <w:rFonts w:ascii="Tahoma" w:eastAsia="Helvetica Linotype" w:hAnsi="Tahoma" w:cs="Helvetica Linotype"/>
                <w:color w:val="000000"/>
                <w:shd w:val="clear" w:color="auto" w:fill="FFFFFF"/>
                <w:lang w:eastAsia="fr-FR"/>
              </w:rPr>
            </w:pPr>
            <w:r>
              <w:rPr>
                <w:rFonts w:ascii="Tahoma" w:eastAsia="Helvetica Linotype" w:hAnsi="Tahoma" w:cs="Helvetica Linotype"/>
                <w:color w:val="000000"/>
                <w:shd w:val="clear" w:color="auto" w:fill="FFFFFF"/>
                <w:lang w:eastAsia="fr-FR"/>
              </w:rPr>
              <w:t xml:space="preserve">La circulaire interministérielle du 14 septembre 2015 relative à l’application du règlement n°1407/2013 de la Commission européenne du 18 décembre 2013 relatif à l'application des articles 107 et 108 du traité sur le fonctionnement de l'Union européenne aux aides de </w:t>
            </w:r>
            <w:proofErr w:type="spellStart"/>
            <w:r>
              <w:rPr>
                <w:rFonts w:ascii="Tahoma" w:eastAsia="Helvetica Linotype" w:hAnsi="Tahoma" w:cs="Helvetica Linotype"/>
                <w:color w:val="000000"/>
                <w:shd w:val="clear" w:color="auto" w:fill="FFFFFF"/>
                <w:lang w:eastAsia="fr-FR"/>
              </w:rPr>
              <w:t>minimis</w:t>
            </w:r>
            <w:proofErr w:type="spellEnd"/>
            <w:r>
              <w:rPr>
                <w:rFonts w:ascii="Tahoma" w:eastAsia="Helvetica Linotype" w:hAnsi="Tahoma" w:cs="Helvetica Linotype"/>
                <w:color w:val="000000"/>
                <w:shd w:val="clear" w:color="auto" w:fill="FFFFFF"/>
                <w:lang w:eastAsia="fr-FR"/>
              </w:rPr>
              <w:t>,</w:t>
            </w:r>
          </w:p>
          <w:p w:rsidR="00D47A98" w:rsidRDefault="00C504E0">
            <w:pPr>
              <w:numPr>
                <w:ilvl w:val="0"/>
                <w:numId w:val="1"/>
              </w:numPr>
              <w:spacing w:line="240" w:lineRule="exact"/>
              <w:jc w:val="both"/>
              <w:rPr>
                <w:rFonts w:ascii="Tahoma" w:eastAsia="Helvetica Linotype" w:hAnsi="Tahoma" w:cs="Helvetica Linotype"/>
                <w:color w:val="000000"/>
                <w:shd w:val="clear" w:color="auto" w:fill="FFFFFF"/>
                <w:lang w:eastAsia="fr-FR"/>
              </w:rPr>
            </w:pPr>
            <w:r>
              <w:rPr>
                <w:rFonts w:ascii="Tahoma" w:eastAsia="Helvetica Linotype" w:hAnsi="Tahoma" w:cs="Helvetica Linotype"/>
                <w:color w:val="000000"/>
                <w:shd w:val="clear" w:color="auto" w:fill="FFFFFF"/>
                <w:lang w:eastAsia="fr-FR"/>
              </w:rPr>
              <w:t xml:space="preserve">La circulaire du Premier Ministre relative à l'application des règles européennes de </w:t>
            </w:r>
            <w:proofErr w:type="spellStart"/>
            <w:r>
              <w:rPr>
                <w:rFonts w:ascii="Tahoma" w:eastAsia="Helvetica Linotype" w:hAnsi="Tahoma" w:cs="Helvetica Linotype"/>
                <w:color w:val="000000"/>
                <w:shd w:val="clear" w:color="auto" w:fill="FFFFFF"/>
                <w:lang w:eastAsia="fr-FR"/>
              </w:rPr>
              <w:t>concurence</w:t>
            </w:r>
            <w:proofErr w:type="spellEnd"/>
            <w:r>
              <w:rPr>
                <w:rFonts w:ascii="Tahoma" w:eastAsia="Helvetica Linotype" w:hAnsi="Tahoma" w:cs="Helvetica Linotype"/>
                <w:color w:val="000000"/>
                <w:shd w:val="clear" w:color="auto" w:fill="FFFFFF"/>
                <w:lang w:eastAsia="fr-FR"/>
              </w:rPr>
              <w:t xml:space="preserve"> relatives aux aides publiques aux activités économiques en date du 26 avril 2017,</w:t>
            </w:r>
          </w:p>
          <w:p w:rsidR="00D47A98" w:rsidRDefault="00C504E0">
            <w:pPr>
              <w:numPr>
                <w:ilvl w:val="0"/>
                <w:numId w:val="1"/>
              </w:numPr>
              <w:spacing w:line="240" w:lineRule="exact"/>
              <w:jc w:val="both"/>
              <w:rPr>
                <w:rFonts w:ascii="Tahoma" w:eastAsia="Helvetica Linotype" w:hAnsi="Tahoma" w:cs="Helvetica Linotype"/>
                <w:color w:val="000000"/>
                <w:shd w:val="clear" w:color="auto" w:fill="FFFFFF"/>
                <w:lang w:eastAsia="fr-FR"/>
              </w:rPr>
            </w:pPr>
            <w:r>
              <w:rPr>
                <w:rFonts w:ascii="Tahoma" w:eastAsia="Helvetica Linotype" w:hAnsi="Tahoma" w:cs="Helvetica Linotype"/>
                <w:color w:val="000000"/>
                <w:shd w:val="clear" w:color="auto" w:fill="FFFFFF"/>
                <w:lang w:eastAsia="fr-FR"/>
              </w:rPr>
              <w:t>L'instruction technique DGPE/SDC/</w:t>
            </w:r>
            <w:r w:rsidR="00D277EE">
              <w:rPr>
                <w:rFonts w:ascii="Tahoma" w:eastAsia="Helvetica Linotype" w:hAnsi="Tahoma" w:cs="Helvetica Linotype"/>
                <w:color w:val="000000"/>
                <w:shd w:val="clear" w:color="auto" w:fill="FFFFFF"/>
                <w:lang w:eastAsia="fr-FR"/>
              </w:rPr>
              <w:t>2020</w:t>
            </w:r>
            <w:r>
              <w:rPr>
                <w:rFonts w:ascii="Tahoma" w:eastAsia="Helvetica Linotype" w:hAnsi="Tahoma" w:cs="Helvetica Linotype"/>
                <w:color w:val="000000"/>
                <w:shd w:val="clear" w:color="auto" w:fill="FFFFFF"/>
                <w:lang w:eastAsia="fr-FR"/>
              </w:rPr>
              <w:t>-</w:t>
            </w:r>
            <w:r w:rsidR="00D277EE">
              <w:rPr>
                <w:rFonts w:ascii="Tahoma" w:eastAsia="Helvetica Linotype" w:hAnsi="Tahoma" w:cs="Helvetica Linotype"/>
                <w:color w:val="000000"/>
                <w:shd w:val="clear" w:color="auto" w:fill="FFFFFF"/>
                <w:lang w:eastAsia="fr-FR"/>
              </w:rPr>
              <w:t>616</w:t>
            </w:r>
            <w:r>
              <w:rPr>
                <w:rFonts w:ascii="Tahoma" w:eastAsia="Helvetica Linotype" w:hAnsi="Tahoma" w:cs="Helvetica Linotype"/>
                <w:color w:val="000000"/>
                <w:shd w:val="clear" w:color="auto" w:fill="FFFFFF"/>
                <w:lang w:eastAsia="fr-FR"/>
              </w:rPr>
              <w:t xml:space="preserve"> du </w:t>
            </w:r>
            <w:r w:rsidR="00D277EE">
              <w:rPr>
                <w:rFonts w:ascii="Tahoma" w:eastAsia="Helvetica Linotype" w:hAnsi="Tahoma" w:cs="Helvetica Linotype"/>
                <w:color w:val="000000"/>
                <w:shd w:val="clear" w:color="auto" w:fill="FFFFFF"/>
                <w:lang w:eastAsia="fr-FR"/>
              </w:rPr>
              <w:t xml:space="preserve">7 octobre </w:t>
            </w:r>
            <w:r>
              <w:rPr>
                <w:rFonts w:ascii="Tahoma" w:eastAsia="Helvetica Linotype" w:hAnsi="Tahoma" w:cs="Helvetica Linotype"/>
                <w:color w:val="000000"/>
                <w:shd w:val="clear" w:color="auto" w:fill="FFFFFF"/>
                <w:lang w:eastAsia="fr-FR"/>
              </w:rPr>
              <w:t>20</w:t>
            </w:r>
            <w:r w:rsidR="00D277EE">
              <w:rPr>
                <w:rFonts w:ascii="Tahoma" w:eastAsia="Helvetica Linotype" w:hAnsi="Tahoma" w:cs="Helvetica Linotype"/>
                <w:color w:val="000000"/>
                <w:shd w:val="clear" w:color="auto" w:fill="FFFFFF"/>
                <w:lang w:eastAsia="fr-FR"/>
              </w:rPr>
              <w:t>20</w:t>
            </w:r>
            <w:r>
              <w:rPr>
                <w:rFonts w:ascii="Tahoma" w:eastAsia="Helvetica Linotype" w:hAnsi="Tahoma" w:cs="Helvetica Linotype"/>
                <w:color w:val="000000"/>
                <w:shd w:val="clear" w:color="auto" w:fill="FFFFFF"/>
                <w:lang w:eastAsia="fr-FR"/>
              </w:rPr>
              <w:t xml:space="preserve"> précisant les modalités de mise en </w:t>
            </w:r>
            <w:proofErr w:type="spellStart"/>
            <w:r>
              <w:rPr>
                <w:rFonts w:ascii="Tahoma" w:eastAsia="Helvetica Linotype" w:hAnsi="Tahoma" w:cs="Helvetica Linotype"/>
                <w:color w:val="000000"/>
                <w:shd w:val="clear" w:color="auto" w:fill="FFFFFF"/>
                <w:lang w:eastAsia="fr-FR"/>
              </w:rPr>
              <w:t>oeuvre</w:t>
            </w:r>
            <w:proofErr w:type="spellEnd"/>
            <w:r>
              <w:rPr>
                <w:rFonts w:ascii="Tahoma" w:eastAsia="Helvetica Linotype" w:hAnsi="Tahoma" w:cs="Helvetica Linotype"/>
                <w:color w:val="000000"/>
                <w:shd w:val="clear" w:color="auto" w:fill="FFFFFF"/>
                <w:lang w:eastAsia="fr-FR"/>
              </w:rPr>
              <w:t xml:space="preserve"> des aides de </w:t>
            </w:r>
            <w:proofErr w:type="spellStart"/>
            <w:r>
              <w:rPr>
                <w:rFonts w:ascii="Tahoma" w:eastAsia="Helvetica Linotype" w:hAnsi="Tahoma" w:cs="Helvetica Linotype"/>
                <w:color w:val="000000"/>
                <w:shd w:val="clear" w:color="auto" w:fill="FFFFFF"/>
                <w:lang w:eastAsia="fr-FR"/>
              </w:rPr>
              <w:t>minimis</w:t>
            </w:r>
            <w:proofErr w:type="spellEnd"/>
            <w:r>
              <w:rPr>
                <w:rFonts w:ascii="Tahoma" w:eastAsia="Helvetica Linotype" w:hAnsi="Tahoma" w:cs="Helvetica Linotype"/>
                <w:color w:val="000000"/>
                <w:shd w:val="clear" w:color="auto" w:fill="FFFFFF"/>
                <w:lang w:eastAsia="fr-FR"/>
              </w:rPr>
              <w:t xml:space="preserve"> appliquées au secteur agricole et forestier,</w:t>
            </w:r>
          </w:p>
          <w:p w:rsidR="00D277EE" w:rsidRPr="00D16E3E" w:rsidRDefault="00C504E0" w:rsidP="00D277EE">
            <w:pPr>
              <w:numPr>
                <w:ilvl w:val="0"/>
                <w:numId w:val="1"/>
              </w:numPr>
              <w:spacing w:line="240" w:lineRule="exact"/>
              <w:jc w:val="both"/>
            </w:pPr>
            <w:r w:rsidRPr="00D277EE">
              <w:rPr>
                <w:rFonts w:ascii="Tahoma" w:eastAsia="Helvetica Linotype" w:hAnsi="Tahoma" w:cs="Arial"/>
                <w:color w:val="000000"/>
                <w:shd w:val="clear" w:color="auto" w:fill="FFFFFF"/>
                <w:lang w:eastAsia="fr-FR"/>
              </w:rPr>
              <w:t xml:space="preserve">L’instruction technique </w:t>
            </w:r>
            <w:r w:rsidRPr="00D277EE">
              <w:rPr>
                <w:rFonts w:ascii="Tahoma" w:eastAsia="Helvetica Linotype" w:hAnsi="Tahoma" w:cs="Arial"/>
                <w:color w:val="000000"/>
                <w:shd w:val="clear" w:color="auto" w:fill="FFFF00"/>
                <w:lang w:eastAsia="fr-FR"/>
              </w:rPr>
              <w:t>DGPE/SDC/ du 2019</w:t>
            </w:r>
            <w:r w:rsidRPr="00D277EE">
              <w:rPr>
                <w:rFonts w:ascii="Tahoma" w:eastAsia="Helvetica Linotype" w:hAnsi="Tahoma" w:cs="Arial"/>
                <w:color w:val="000000"/>
                <w:shd w:val="clear" w:color="auto" w:fill="FFFFFF"/>
                <w:lang w:eastAsia="fr-FR"/>
              </w:rPr>
              <w:t xml:space="preserve"> relati</w:t>
            </w:r>
            <w:r w:rsidR="00D277EE" w:rsidRPr="00D277EE">
              <w:rPr>
                <w:rFonts w:ascii="Tahoma" w:eastAsia="Helvetica Linotype" w:hAnsi="Tahoma" w:cs="Arial"/>
                <w:color w:val="000000"/>
                <w:shd w:val="clear" w:color="auto" w:fill="FFFFFF"/>
                <w:lang w:eastAsia="fr-FR"/>
              </w:rPr>
              <w:t>ve</w:t>
            </w:r>
            <w:r w:rsidRPr="00D277EE">
              <w:rPr>
                <w:rFonts w:ascii="Tahoma" w:eastAsia="Helvetica Linotype" w:hAnsi="Tahoma" w:cs="Arial"/>
                <w:color w:val="000000"/>
                <w:shd w:val="clear" w:color="auto" w:fill="FFFFFF"/>
                <w:lang w:eastAsia="fr-FR"/>
              </w:rPr>
              <w:t xml:space="preserve"> au Dispositif National d’Aide à l’Investissement Immatériel pour les entreprises agroalimentaires (</w:t>
            </w:r>
            <w:proofErr w:type="spellStart"/>
            <w:r w:rsidRPr="00D277EE">
              <w:rPr>
                <w:rFonts w:ascii="Tahoma" w:eastAsia="Helvetica Linotype" w:hAnsi="Tahoma" w:cs="Arial"/>
                <w:color w:val="000000"/>
                <w:shd w:val="clear" w:color="auto" w:fill="FFFFFF"/>
                <w:lang w:eastAsia="fr-FR"/>
              </w:rPr>
              <w:t>DiNAII</w:t>
            </w:r>
            <w:proofErr w:type="spellEnd"/>
            <w:r w:rsidRPr="00D277EE">
              <w:rPr>
                <w:rFonts w:ascii="Tahoma" w:eastAsia="Helvetica Linotype" w:hAnsi="Tahoma" w:cs="Arial"/>
                <w:color w:val="000000"/>
                <w:shd w:val="clear" w:color="auto" w:fill="FFFFFF"/>
                <w:lang w:eastAsia="fr-FR"/>
              </w:rPr>
              <w:t>)</w:t>
            </w:r>
            <w:r w:rsidR="00D277EE">
              <w:rPr>
                <w:rFonts w:ascii="Tahoma" w:eastAsia="Helvetica Linotype" w:hAnsi="Tahoma" w:cs="Arial"/>
                <w:color w:val="000000"/>
                <w:shd w:val="clear" w:color="auto" w:fill="FFFFFF"/>
                <w:lang w:eastAsia="fr-FR"/>
              </w:rPr>
              <w:t>,</w:t>
            </w:r>
          </w:p>
          <w:p w:rsidR="00D47A98" w:rsidRPr="00D277EE" w:rsidRDefault="00C504E0" w:rsidP="00D277EE">
            <w:pPr>
              <w:numPr>
                <w:ilvl w:val="0"/>
                <w:numId w:val="1"/>
              </w:numPr>
              <w:spacing w:line="240" w:lineRule="exact"/>
              <w:jc w:val="both"/>
              <w:rPr>
                <w:rFonts w:ascii="Tahoma" w:eastAsia="Helvetica Linotype" w:hAnsi="Tahoma" w:cs="Arial"/>
                <w:color w:val="000000"/>
                <w:shd w:val="clear" w:color="auto" w:fill="FFFFFF"/>
                <w:lang w:eastAsia="fr-FR"/>
              </w:rPr>
            </w:pPr>
            <w:bookmarkStart w:id="1" w:name="_GoBack"/>
            <w:bookmarkEnd w:id="1"/>
            <w:r w:rsidRPr="00D277EE">
              <w:rPr>
                <w:rFonts w:ascii="Tahoma" w:eastAsia="Helvetica Linotype" w:hAnsi="Tahoma" w:cs="Arial"/>
                <w:color w:val="000000"/>
                <w:shd w:val="clear" w:color="auto" w:fill="FFFFFF"/>
                <w:lang w:eastAsia="fr-FR"/>
              </w:rPr>
              <w:t xml:space="preserve">La demande d'aide déposée par le Bénéficiaire en date du </w:t>
            </w:r>
            <w:r w:rsidRPr="003240C5">
              <w:rPr>
                <w:rFonts w:ascii="Tahoma" w:eastAsia="Helvetica Linotype" w:hAnsi="Tahoma" w:cs="Arial"/>
                <w:color w:val="000000"/>
                <w:highlight w:val="yellow"/>
                <w:shd w:val="clear" w:color="auto" w:fill="FFFFFF"/>
                <w:lang w:eastAsia="fr-FR"/>
              </w:rPr>
              <w:t>--/--/</w:t>
            </w:r>
            <w:r w:rsidR="003240C5">
              <w:rPr>
                <w:rFonts w:ascii="Tahoma" w:eastAsia="Helvetica Linotype" w:hAnsi="Tahoma" w:cs="Arial"/>
                <w:color w:val="000000"/>
                <w:highlight w:val="yellow"/>
                <w:shd w:val="clear" w:color="auto" w:fill="FFFFFF"/>
                <w:lang w:eastAsia="fr-FR"/>
              </w:rPr>
              <w:t>-</w:t>
            </w:r>
            <w:r w:rsidR="003240C5" w:rsidRPr="003240C5">
              <w:rPr>
                <w:rFonts w:ascii="Tahoma" w:eastAsia="Helvetica Linotype" w:hAnsi="Tahoma" w:cs="Arial"/>
                <w:color w:val="000000"/>
                <w:highlight w:val="yellow"/>
                <w:shd w:val="clear" w:color="auto" w:fill="FFFFFF"/>
                <w:lang w:eastAsia="fr-FR"/>
              </w:rPr>
              <w:t>-</w:t>
            </w:r>
            <w:r w:rsidR="003240C5">
              <w:rPr>
                <w:rFonts w:ascii="Tahoma" w:eastAsia="Helvetica Linotype" w:hAnsi="Tahoma" w:cs="Arial"/>
                <w:color w:val="000000"/>
                <w:shd w:val="clear" w:color="auto" w:fill="FFFFFF"/>
                <w:lang w:eastAsia="fr-FR"/>
              </w:rPr>
              <w:t>,</w:t>
            </w:r>
          </w:p>
          <w:p w:rsidR="00D47A98" w:rsidRDefault="00C504E0">
            <w:pPr>
              <w:numPr>
                <w:ilvl w:val="0"/>
                <w:numId w:val="1"/>
              </w:numPr>
              <w:spacing w:line="240" w:lineRule="exact"/>
              <w:jc w:val="both"/>
              <w:rPr>
                <w:rFonts w:ascii="Tahoma" w:eastAsia="Helvetica Linotype" w:hAnsi="Tahoma" w:cs="Arial"/>
                <w:color w:val="000000"/>
                <w:shd w:val="clear" w:color="auto" w:fill="FFFFFF"/>
                <w:lang w:eastAsia="fr-FR"/>
              </w:rPr>
            </w:pPr>
            <w:r>
              <w:rPr>
                <w:rFonts w:ascii="Tahoma" w:eastAsia="Helvetica Linotype" w:hAnsi="Tahoma" w:cs="Arial"/>
                <w:color w:val="000000"/>
                <w:shd w:val="clear" w:color="auto" w:fill="FFFFFF"/>
                <w:lang w:eastAsia="fr-FR"/>
              </w:rPr>
              <w:t xml:space="preserve">L'accusé de réception de la demande d'aide en date du </w:t>
            </w:r>
            <w:r w:rsidRPr="003240C5">
              <w:rPr>
                <w:rFonts w:ascii="Tahoma" w:eastAsia="Helvetica Linotype" w:hAnsi="Tahoma" w:cs="Arial"/>
                <w:color w:val="000000"/>
                <w:highlight w:val="yellow"/>
                <w:shd w:val="clear" w:color="auto" w:fill="FFFFFF"/>
                <w:lang w:eastAsia="fr-FR"/>
              </w:rPr>
              <w:t>--/--/--</w:t>
            </w:r>
          </w:p>
        </w:tc>
      </w:tr>
    </w:tbl>
    <w:p w:rsidR="00D47A98" w:rsidRDefault="00C504E0">
      <w:pPr>
        <w:spacing w:after="0"/>
        <w:rPr>
          <w:lang w:eastAsia="fr-FR"/>
        </w:rPr>
      </w:pPr>
      <w:r>
        <w:lastRenderedPageBreak/>
        <w:br w:type="page"/>
      </w:r>
    </w:p>
    <w:p w:rsidR="00D47A98" w:rsidRDefault="00C504E0">
      <w:pPr>
        <w:pStyle w:val="Lgende"/>
        <w:spacing w:before="0" w:after="0"/>
        <w:jc w:val="center"/>
        <w:rPr>
          <w:rFonts w:ascii="Tahoma" w:hAnsi="Tahoma"/>
          <w:i w:val="0"/>
          <w:sz w:val="22"/>
          <w:shd w:val="clear" w:color="auto" w:fill="FFFFFF"/>
        </w:rPr>
      </w:pPr>
      <w:r>
        <w:rPr>
          <w:rFonts w:ascii="Tahoma" w:hAnsi="Tahoma"/>
          <w:b/>
          <w:bCs/>
          <w:i w:val="0"/>
          <w:sz w:val="22"/>
          <w:shd w:val="clear" w:color="auto" w:fill="FFFFFF"/>
        </w:rPr>
        <w:lastRenderedPageBreak/>
        <w:t>Il est convenu ce qui suit :</w:t>
      </w:r>
    </w:p>
    <w:p w:rsidR="00D47A98" w:rsidRDefault="00D47A98">
      <w:pPr>
        <w:spacing w:after="0"/>
        <w:jc w:val="both"/>
        <w:rPr>
          <w:b/>
          <w:bCs/>
        </w:rPr>
      </w:pPr>
    </w:p>
    <w:p w:rsidR="00D47A98" w:rsidRDefault="00C504E0">
      <w:pPr>
        <w:spacing w:after="0"/>
        <w:jc w:val="both"/>
      </w:pPr>
      <w:r>
        <w:rPr>
          <w:rFonts w:ascii="Tahoma" w:hAnsi="Tahoma"/>
          <w:b/>
          <w:bCs/>
        </w:rPr>
        <w:t>Article 1 : Objet de la convention</w:t>
      </w:r>
    </w:p>
    <w:p w:rsidR="00D47A98" w:rsidRDefault="00D47A98">
      <w:pPr>
        <w:spacing w:after="0"/>
        <w:jc w:val="both"/>
        <w:rPr>
          <w:rFonts w:ascii="Tahoma" w:hAnsi="Tahoma"/>
          <w:b/>
          <w:bCs/>
        </w:rPr>
      </w:pPr>
    </w:p>
    <w:p w:rsidR="00C504E0" w:rsidRDefault="00C504E0">
      <w:pPr>
        <w:spacing w:after="0"/>
        <w:jc w:val="both"/>
        <w:rPr>
          <w:rFonts w:ascii="Tahoma" w:hAnsi="Tahoma"/>
        </w:rPr>
      </w:pPr>
      <w:r>
        <w:rPr>
          <w:rFonts w:ascii="Tahoma" w:hAnsi="Tahoma"/>
        </w:rPr>
        <w:t>La présente convention définit les modalités de coopération entre le « porteur transparent » et le partenaire dans le cadre de la réalisation</w:t>
      </w:r>
      <w:r>
        <w:rPr>
          <w:rFonts w:ascii="Tahoma" w:hAnsi="Tahoma"/>
          <w:b/>
          <w:bCs/>
        </w:rPr>
        <w:t xml:space="preserve"> </w:t>
      </w:r>
      <w:r>
        <w:rPr>
          <w:rFonts w:ascii="Tahoma" w:hAnsi="Tahoma"/>
        </w:rPr>
        <w:t xml:space="preserve">de l’action collective mentionnée ci-dessus, ainsi que leurs obligations et responsabilités respectives, conformément à la demande d'aide déposée par le porteur transparent auprès de la Direction Régionale de l'alimentation, de l'agriculture et de la forêt de (DRAAF) </w:t>
      </w:r>
      <w:r w:rsidRPr="003240C5">
        <w:rPr>
          <w:rFonts w:ascii="Tahoma" w:hAnsi="Tahoma"/>
          <w:shd w:val="clear" w:color="auto" w:fill="FFFF00"/>
        </w:rPr>
        <w:t>de</w:t>
      </w:r>
      <w:r>
        <w:rPr>
          <w:rFonts w:ascii="Tahoma" w:hAnsi="Tahoma"/>
          <w:shd w:val="clear" w:color="auto" w:fill="FFFF00"/>
        </w:rPr>
        <w:t xml:space="preserve"> [région]</w:t>
      </w:r>
      <w:r>
        <w:rPr>
          <w:rFonts w:ascii="Tahoma" w:hAnsi="Tahoma"/>
        </w:rPr>
        <w:t xml:space="preserve"> au titre de l'appel à projet </w:t>
      </w:r>
      <w:r>
        <w:rPr>
          <w:rFonts w:ascii="Tahoma" w:hAnsi="Tahoma"/>
          <w:shd w:val="clear" w:color="auto" w:fill="FFFF00"/>
        </w:rPr>
        <w:t>[date]</w:t>
      </w:r>
      <w:r>
        <w:rPr>
          <w:rFonts w:ascii="Tahoma" w:hAnsi="Tahoma"/>
          <w:shd w:val="clear" w:color="auto" w:fill="FFFFFF"/>
        </w:rPr>
        <w:t xml:space="preserve"> </w:t>
      </w:r>
      <w:r>
        <w:rPr>
          <w:rFonts w:ascii="Tahoma" w:hAnsi="Tahoma"/>
        </w:rPr>
        <w:t>du Dispositif national d'aide à l'investissement immatériel pour les entreprises agroalimentaires.</w:t>
      </w:r>
    </w:p>
    <w:p w:rsidR="00D47A98" w:rsidRDefault="00D47A98">
      <w:pPr>
        <w:spacing w:after="0"/>
        <w:jc w:val="both"/>
        <w:rPr>
          <w:b/>
        </w:rPr>
      </w:pPr>
    </w:p>
    <w:p w:rsidR="00D47A98" w:rsidRDefault="00C504E0">
      <w:pPr>
        <w:spacing w:after="0"/>
        <w:jc w:val="both"/>
      </w:pPr>
      <w:r>
        <w:rPr>
          <w:rFonts w:ascii="Tahoma" w:hAnsi="Tahoma"/>
          <w:b/>
        </w:rPr>
        <w:t>Article 2 : Durée de la convention</w:t>
      </w:r>
    </w:p>
    <w:p w:rsidR="00D47A98" w:rsidRDefault="00D47A98">
      <w:pPr>
        <w:spacing w:after="0"/>
        <w:jc w:val="both"/>
        <w:rPr>
          <w:rFonts w:ascii="Tahoma" w:hAnsi="Tahoma"/>
          <w:b/>
        </w:rPr>
      </w:pPr>
    </w:p>
    <w:p w:rsidR="00D47A98" w:rsidRDefault="00C504E0">
      <w:pPr>
        <w:spacing w:after="0"/>
        <w:jc w:val="both"/>
      </w:pPr>
      <w:r>
        <w:rPr>
          <w:rFonts w:ascii="Tahoma" w:hAnsi="Tahoma"/>
        </w:rPr>
        <w:t>La durée de la convention correspond à la durée définie dans la décision juridique attributive de l’aide DINAII conclue entre le « porteur transparent » et la DRAAF.</w:t>
      </w:r>
    </w:p>
    <w:p w:rsidR="00D47A98" w:rsidRDefault="00C504E0">
      <w:pPr>
        <w:spacing w:after="0"/>
        <w:jc w:val="both"/>
      </w:pPr>
      <w:r>
        <w:rPr>
          <w:rFonts w:ascii="Tahoma" w:hAnsi="Tahoma"/>
        </w:rPr>
        <w:t xml:space="preserve">La convention reste en tout état de cause en vigueur tant que le « porteur transparent » ne s'est pas pleinement acquitté de ses obligations envers la DRAAF. </w:t>
      </w:r>
    </w:p>
    <w:p w:rsidR="00D47A98" w:rsidRDefault="00D47A98">
      <w:pPr>
        <w:spacing w:after="0"/>
        <w:jc w:val="both"/>
        <w:rPr>
          <w:rFonts w:ascii="Tahoma" w:hAnsi="Tahoma"/>
        </w:rPr>
      </w:pPr>
    </w:p>
    <w:p w:rsidR="00D47A98" w:rsidRDefault="00C504E0">
      <w:pPr>
        <w:spacing w:after="0"/>
        <w:jc w:val="both"/>
      </w:pPr>
      <w:r>
        <w:rPr>
          <w:rFonts w:ascii="Tahoma" w:hAnsi="Tahoma"/>
          <w:b/>
        </w:rPr>
        <w:t xml:space="preserve">Article 3 : Présentation de l’opération partenariale </w:t>
      </w:r>
    </w:p>
    <w:p w:rsidR="00D47A98" w:rsidRDefault="00D47A98">
      <w:pPr>
        <w:spacing w:after="0"/>
        <w:jc w:val="both"/>
        <w:rPr>
          <w:rFonts w:ascii="Tahoma" w:hAnsi="Tahoma"/>
          <w:b/>
        </w:rPr>
      </w:pPr>
    </w:p>
    <w:p w:rsidR="00D47A98" w:rsidRDefault="00C504E0">
      <w:pPr>
        <w:spacing w:after="0"/>
        <w:jc w:val="both"/>
      </w:pPr>
      <w:r>
        <w:rPr>
          <w:rFonts w:ascii="Tahoma" w:hAnsi="Tahoma"/>
        </w:rPr>
        <w:t>L'action collective mise en œuvre par le porteur transparent et dont le partenaire est bénéficiaire direct est présentée en annexe technique et financière.</w:t>
      </w:r>
    </w:p>
    <w:p w:rsidR="00D47A98" w:rsidRDefault="00D47A98">
      <w:pPr>
        <w:spacing w:after="0"/>
        <w:jc w:val="both"/>
        <w:rPr>
          <w:rFonts w:ascii="Tahoma" w:hAnsi="Tahoma"/>
        </w:rPr>
      </w:pPr>
    </w:p>
    <w:p w:rsidR="00D47A98" w:rsidRDefault="00C504E0">
      <w:pPr>
        <w:spacing w:after="0"/>
        <w:jc w:val="both"/>
      </w:pPr>
      <w:r>
        <w:rPr>
          <w:rFonts w:ascii="Tahoma" w:hAnsi="Tahoma"/>
          <w:b/>
        </w:rPr>
        <w:t xml:space="preserve">Article 4 : Obligations et responsabilités du « porteur transparent » </w:t>
      </w:r>
    </w:p>
    <w:p w:rsidR="00D47A98" w:rsidRDefault="00D47A98">
      <w:pPr>
        <w:spacing w:after="0"/>
        <w:jc w:val="both"/>
        <w:rPr>
          <w:rFonts w:ascii="Tahoma" w:hAnsi="Tahoma"/>
          <w:b/>
        </w:rPr>
      </w:pPr>
    </w:p>
    <w:p w:rsidR="00D47A98" w:rsidRDefault="00C504E0">
      <w:pPr>
        <w:spacing w:after="0"/>
        <w:jc w:val="both"/>
        <w:rPr>
          <w:rFonts w:ascii="Tahoma" w:hAnsi="Tahoma"/>
        </w:rPr>
      </w:pPr>
      <w:r>
        <w:rPr>
          <w:rFonts w:ascii="Tahoma" w:hAnsi="Tahoma"/>
        </w:rPr>
        <w:t>Le « porteur transparent » est le responsable juridique et financier en charge de la coordination administrative, technique et financière de l’action collective.</w:t>
      </w:r>
    </w:p>
    <w:p w:rsidR="00D47A98" w:rsidRDefault="00D47A98">
      <w:pPr>
        <w:spacing w:after="0"/>
        <w:rPr>
          <w:rStyle w:val="CharAttribute3"/>
          <w:rFonts w:ascii="Tahoma" w:hAnsi="Tahoma"/>
          <w:lang w:eastAsia="fr-FR"/>
        </w:rPr>
      </w:pPr>
    </w:p>
    <w:p w:rsidR="00D47A98" w:rsidRDefault="00C504E0">
      <w:pPr>
        <w:spacing w:after="0"/>
      </w:pPr>
      <w:r>
        <w:rPr>
          <w:rStyle w:val="CharAttribute3"/>
          <w:rFonts w:ascii="Tahoma" w:hAnsi="Tahoma"/>
          <w:lang w:eastAsia="fr-FR"/>
        </w:rPr>
        <w:t xml:space="preserve">Le « porteur transparent » est un intermédiaire transparent. Il ne bénéficie pas </w:t>
      </w:r>
      <w:r>
        <w:rPr>
          <w:rStyle w:val="CharAttribute3"/>
          <w:rFonts w:ascii="Tahoma" w:hAnsi="Tahoma"/>
        </w:rPr>
        <w:t>d’aide d’État, en revanche, il va répercuter l'intégralité de l'aide d'Etat aux entreprises participant à l'action collective (facturation de prestation à un prix réduit par rapport au marché par exemple)</w:t>
      </w:r>
    </w:p>
    <w:p w:rsidR="00D47A98" w:rsidRDefault="00D47A98">
      <w:pPr>
        <w:spacing w:after="0"/>
        <w:jc w:val="both"/>
        <w:rPr>
          <w:rFonts w:ascii="Tahoma" w:hAnsi="Tahoma"/>
        </w:rPr>
      </w:pPr>
    </w:p>
    <w:p w:rsidR="00D47A98" w:rsidRDefault="00C504E0">
      <w:pPr>
        <w:spacing w:after="0"/>
        <w:jc w:val="both"/>
        <w:rPr>
          <w:rFonts w:ascii="Tahoma" w:hAnsi="Tahoma"/>
        </w:rPr>
      </w:pPr>
      <w:r>
        <w:rPr>
          <w:rFonts w:ascii="Tahoma" w:hAnsi="Tahoma"/>
        </w:rPr>
        <w:t>Il s’acquittera de toutes les obligations découlant de la convention attributive de l’aide DINAII, en particulier les obligations suivantes :</w:t>
      </w:r>
    </w:p>
    <w:p w:rsidR="00D47A98" w:rsidRDefault="00D47A98">
      <w:pPr>
        <w:spacing w:after="0"/>
        <w:jc w:val="both"/>
        <w:rPr>
          <w:b/>
          <w:i/>
        </w:rPr>
      </w:pPr>
    </w:p>
    <w:p w:rsidR="00D47A98" w:rsidRDefault="00C504E0">
      <w:pPr>
        <w:spacing w:after="0"/>
        <w:jc w:val="both"/>
      </w:pPr>
      <w:r>
        <w:rPr>
          <w:rFonts w:ascii="Tahoma" w:hAnsi="Tahoma"/>
          <w:b/>
          <w:i/>
        </w:rPr>
        <w:t xml:space="preserve">En matière de suivi administratif : </w:t>
      </w:r>
    </w:p>
    <w:p w:rsidR="00D47A98" w:rsidRDefault="00C504E0">
      <w:pPr>
        <w:numPr>
          <w:ilvl w:val="0"/>
          <w:numId w:val="2"/>
        </w:numPr>
        <w:spacing w:after="0"/>
        <w:jc w:val="both"/>
      </w:pPr>
      <w:r>
        <w:rPr>
          <w:rFonts w:ascii="Tahoma" w:hAnsi="Tahoma"/>
        </w:rPr>
        <w:t>Il est le responsable de la mise en œuvre générale du projet devant la DRAAF et les partenaires. Il est le garant de la bonne mise en œuvre du projet dans le respect des délais prévus dans la convention attributive de l’aide DINAII et conformément à la réglementation en vigueur,</w:t>
      </w:r>
    </w:p>
    <w:p w:rsidR="00D47A98" w:rsidRPr="00C504E0" w:rsidRDefault="00C504E0" w:rsidP="003240C5">
      <w:pPr>
        <w:numPr>
          <w:ilvl w:val="0"/>
          <w:numId w:val="2"/>
        </w:numPr>
        <w:spacing w:after="0"/>
        <w:jc w:val="both"/>
        <w:rPr>
          <w:rFonts w:ascii="Tahoma" w:hAnsi="Tahoma"/>
        </w:rPr>
      </w:pPr>
      <w:r>
        <w:rPr>
          <w:rFonts w:ascii="Tahoma" w:hAnsi="Tahoma"/>
        </w:rPr>
        <w:t>Il est l’interlocuteur direct et reconnu de l’administration. Il recueille, auprès des différents partenaires, l’ensemble des informations nécessaires à l’instruction de la demande d’aide DINAII, à la mise en œuvre et au suivi de l’action collective financée auprès des partenaires tels que définis dans la présente convention et identiques à ceux qui sont inscrits dans la convention attributive d’aide DINAII afin de les présenter à la DRAAF.</w:t>
      </w:r>
    </w:p>
    <w:p w:rsidR="00D47A98" w:rsidRDefault="00C504E0">
      <w:pPr>
        <w:spacing w:after="0"/>
        <w:jc w:val="both"/>
      </w:pPr>
      <w:r>
        <w:rPr>
          <w:rFonts w:ascii="Tahoma" w:hAnsi="Tahoma"/>
          <w:b/>
          <w:i/>
        </w:rPr>
        <w:lastRenderedPageBreak/>
        <w:t xml:space="preserve">En matière de suivi financier : </w:t>
      </w:r>
    </w:p>
    <w:p w:rsidR="00D47A98" w:rsidRDefault="00C504E0">
      <w:pPr>
        <w:numPr>
          <w:ilvl w:val="0"/>
          <w:numId w:val="8"/>
        </w:numPr>
        <w:spacing w:after="0"/>
        <w:jc w:val="both"/>
      </w:pPr>
      <w:r>
        <w:rPr>
          <w:rFonts w:ascii="Tahoma" w:hAnsi="Tahoma"/>
        </w:rPr>
        <w:t>Il respecte le budget prévisionnel tel qu’annexé à la présente convention,</w:t>
      </w:r>
    </w:p>
    <w:p w:rsidR="00D47A98" w:rsidRDefault="00C504E0">
      <w:pPr>
        <w:numPr>
          <w:ilvl w:val="0"/>
          <w:numId w:val="8"/>
        </w:numPr>
        <w:spacing w:after="0"/>
        <w:jc w:val="both"/>
      </w:pPr>
      <w:r>
        <w:rPr>
          <w:rFonts w:ascii="Tahoma" w:hAnsi="Tahoma"/>
        </w:rPr>
        <w:t>Il procède à la répercussion de l'aide au partenaire en respectant le mécanisme décrit dans la présente convention et dans la convention d'attribution de l'aide DINAII,</w:t>
      </w:r>
    </w:p>
    <w:p w:rsidR="00D47A98" w:rsidRDefault="00C504E0">
      <w:pPr>
        <w:pStyle w:val="Paragraphedeliste"/>
        <w:numPr>
          <w:ilvl w:val="0"/>
          <w:numId w:val="8"/>
        </w:numPr>
        <w:spacing w:after="0"/>
        <w:jc w:val="both"/>
      </w:pPr>
      <w:r>
        <w:rPr>
          <w:rFonts w:ascii="Tahoma" w:hAnsi="Tahoma"/>
        </w:rPr>
        <w:t xml:space="preserve">Il rembourse à l’organisme payeur les sommes indûment perçues, et procède au recouvrement des montants indûment répercutés aux partenaires concernés, </w:t>
      </w:r>
    </w:p>
    <w:p w:rsidR="00D47A98" w:rsidRDefault="00C504E0">
      <w:pPr>
        <w:pStyle w:val="Paragraphedeliste"/>
        <w:numPr>
          <w:ilvl w:val="0"/>
          <w:numId w:val="8"/>
        </w:numPr>
        <w:spacing w:after="0"/>
        <w:jc w:val="both"/>
        <w:rPr>
          <w:rFonts w:ascii="Tahoma" w:hAnsi="Tahoma"/>
        </w:rPr>
      </w:pPr>
      <w:r>
        <w:rPr>
          <w:rFonts w:ascii="Tahoma" w:hAnsi="Tahoma"/>
        </w:rPr>
        <w:t>Il alerte formellement la DRAAF d’éventuelles modifications du plan de financement ou de la nature de l’action collective, validée par l’ensemble des partenaires. Dans tous les cas, même sans nécessité de reprogrammation, le porteur transparent s’engage à en avertir la DRAAF.</w:t>
      </w:r>
    </w:p>
    <w:p w:rsidR="00D47A98" w:rsidRDefault="00D47A98">
      <w:pPr>
        <w:pStyle w:val="Paragraphedeliste"/>
        <w:spacing w:after="0"/>
        <w:jc w:val="both"/>
        <w:rPr>
          <w:rFonts w:ascii="Tahoma" w:hAnsi="Tahoma"/>
        </w:rPr>
      </w:pPr>
    </w:p>
    <w:p w:rsidR="00D47A98" w:rsidRDefault="00C504E0">
      <w:pPr>
        <w:pStyle w:val="Paragraphedeliste"/>
        <w:spacing w:after="0"/>
        <w:ind w:left="0"/>
        <w:jc w:val="both"/>
        <w:rPr>
          <w:rFonts w:ascii="Tahoma" w:hAnsi="Tahoma"/>
        </w:rPr>
      </w:pPr>
      <w:r>
        <w:rPr>
          <w:rFonts w:ascii="Tahoma" w:hAnsi="Tahoma"/>
        </w:rPr>
        <w:t>Toute modification devra faire l’objet d’un avenant à la présente convention, dans les conditions précisées à l’article 11.</w:t>
      </w:r>
    </w:p>
    <w:p w:rsidR="00D47A98" w:rsidRDefault="00D47A98">
      <w:pPr>
        <w:pStyle w:val="Paragraphedeliste"/>
        <w:spacing w:after="0"/>
        <w:ind w:left="0"/>
        <w:jc w:val="both"/>
        <w:rPr>
          <w:rFonts w:ascii="Tahoma" w:hAnsi="Tahoma"/>
        </w:rPr>
      </w:pPr>
    </w:p>
    <w:p w:rsidR="00D47A98" w:rsidRDefault="00C504E0">
      <w:pPr>
        <w:spacing w:after="0"/>
        <w:jc w:val="both"/>
        <w:rPr>
          <w:b/>
          <w:i/>
        </w:rPr>
      </w:pPr>
      <w:r>
        <w:rPr>
          <w:rFonts w:ascii="Tahoma" w:hAnsi="Tahoma"/>
          <w:b/>
          <w:i/>
        </w:rPr>
        <w:t xml:space="preserve">En matière de contrôle : </w:t>
      </w:r>
    </w:p>
    <w:p w:rsidR="00D47A98" w:rsidRDefault="00C504E0">
      <w:pPr>
        <w:pStyle w:val="Paragraphedeliste"/>
        <w:numPr>
          <w:ilvl w:val="0"/>
          <w:numId w:val="3"/>
        </w:numPr>
        <w:spacing w:after="0"/>
      </w:pPr>
      <w:r>
        <w:rPr>
          <w:rFonts w:ascii="Tahoma" w:hAnsi="Tahoma"/>
        </w:rPr>
        <w:t>Il se soumet à tout contrôle sur pièces et sur place effectués par la DRAAF ou les corps d’inspection ou de contrôle nationaux,</w:t>
      </w:r>
    </w:p>
    <w:p w:rsidR="00D47A98" w:rsidRDefault="00C504E0">
      <w:pPr>
        <w:pStyle w:val="Paragraphedeliste"/>
        <w:numPr>
          <w:ilvl w:val="0"/>
          <w:numId w:val="3"/>
        </w:numPr>
        <w:spacing w:after="0"/>
      </w:pPr>
      <w:r>
        <w:rPr>
          <w:rFonts w:ascii="Tahoma" w:hAnsi="Tahoma"/>
        </w:rPr>
        <w:t>Il communique aux partenaires et coordonne les éventuels contrôles et audits commandités, demande de pièces complémentaires et leurs résultats,</w:t>
      </w:r>
    </w:p>
    <w:p w:rsidR="00D47A98" w:rsidRDefault="00C504E0">
      <w:pPr>
        <w:pStyle w:val="Paragraphedeliste"/>
        <w:numPr>
          <w:ilvl w:val="0"/>
          <w:numId w:val="3"/>
        </w:numPr>
        <w:spacing w:after="0"/>
        <w:rPr>
          <w:rFonts w:ascii="Tahoma" w:hAnsi="Tahoma"/>
        </w:rPr>
      </w:pPr>
      <w:r>
        <w:rPr>
          <w:rFonts w:ascii="Tahoma" w:hAnsi="Tahoma"/>
        </w:rPr>
        <w:t>Il conserve et rend disponible, sur demande des corps de contrôle, toutes les pièces relatives à l’action collective et à sa mise en œuvre, jusqu’à la fin de la période d’engagement définie par la convention attributive de l’aide DINAII.</w:t>
      </w:r>
    </w:p>
    <w:p w:rsidR="00D47A98" w:rsidRDefault="00D47A98">
      <w:pPr>
        <w:pStyle w:val="Paragraphedeliste"/>
        <w:spacing w:after="0"/>
        <w:rPr>
          <w:rFonts w:ascii="Tahoma" w:hAnsi="Tahoma"/>
        </w:rPr>
      </w:pPr>
    </w:p>
    <w:p w:rsidR="00D47A98" w:rsidRDefault="00C504E0">
      <w:pPr>
        <w:spacing w:after="0"/>
        <w:jc w:val="both"/>
      </w:pPr>
      <w:r>
        <w:rPr>
          <w:rFonts w:ascii="Tahoma" w:hAnsi="Tahoma"/>
          <w:b/>
        </w:rPr>
        <w:t>Article 5 : Obligations et responsabilités du partenaire</w:t>
      </w:r>
    </w:p>
    <w:p w:rsidR="00D47A98" w:rsidRDefault="00D47A98">
      <w:pPr>
        <w:spacing w:after="0"/>
        <w:jc w:val="both"/>
        <w:rPr>
          <w:rFonts w:ascii="Tahoma" w:hAnsi="Tahoma"/>
          <w:b/>
        </w:rPr>
      </w:pPr>
    </w:p>
    <w:p w:rsidR="00D47A98" w:rsidRDefault="00C504E0">
      <w:pPr>
        <w:spacing w:after="0"/>
        <w:jc w:val="both"/>
        <w:rPr>
          <w:rFonts w:ascii="Tahoma" w:hAnsi="Tahoma"/>
        </w:rPr>
      </w:pPr>
      <w:r>
        <w:rPr>
          <w:rFonts w:ascii="Tahoma" w:hAnsi="Tahoma"/>
        </w:rPr>
        <w:t xml:space="preserve">Le partenaire accepte la coordination technique, financière et administrative du « porteur transparent » et autorise ce dernier, dans le cadre de l’action collective menée en partenariat, à signer la demande d’aide et les demandes de paiement, la convention attributive de l’aide DINAII et à percevoir l’aide. </w:t>
      </w:r>
    </w:p>
    <w:p w:rsidR="00D47A98" w:rsidRDefault="00D47A98">
      <w:pPr>
        <w:spacing w:after="0"/>
        <w:jc w:val="both"/>
        <w:rPr>
          <w:rFonts w:ascii="Tahoma" w:hAnsi="Tahoma"/>
        </w:rPr>
      </w:pPr>
    </w:p>
    <w:p w:rsidR="00D47A98" w:rsidRDefault="00C504E0">
      <w:pPr>
        <w:spacing w:after="0"/>
        <w:jc w:val="both"/>
        <w:rPr>
          <w:rFonts w:ascii="Tahoma" w:hAnsi="Tahoma"/>
        </w:rPr>
      </w:pPr>
      <w:r>
        <w:rPr>
          <w:rFonts w:ascii="Tahoma" w:hAnsi="Tahoma"/>
        </w:rPr>
        <w:t>A ce titre, il s’engage à :</w:t>
      </w:r>
    </w:p>
    <w:p w:rsidR="00D47A98" w:rsidRDefault="00D47A98">
      <w:pPr>
        <w:spacing w:after="0"/>
        <w:jc w:val="both"/>
        <w:rPr>
          <w:rFonts w:ascii="Tahoma" w:hAnsi="Tahoma"/>
        </w:rPr>
      </w:pPr>
    </w:p>
    <w:p w:rsidR="00D47A98" w:rsidRDefault="00C504E0">
      <w:pPr>
        <w:spacing w:after="0"/>
        <w:jc w:val="both"/>
      </w:pPr>
      <w:r>
        <w:rPr>
          <w:rFonts w:ascii="Tahoma" w:hAnsi="Tahoma"/>
          <w:b/>
          <w:i/>
        </w:rPr>
        <w:t xml:space="preserve">En matière de suivi administratif : </w:t>
      </w:r>
    </w:p>
    <w:p w:rsidR="00D47A98" w:rsidRDefault="00C504E0">
      <w:pPr>
        <w:pStyle w:val="Paragraphedeliste"/>
        <w:numPr>
          <w:ilvl w:val="0"/>
          <w:numId w:val="4"/>
        </w:numPr>
        <w:spacing w:after="0"/>
        <w:jc w:val="both"/>
      </w:pPr>
      <w:r>
        <w:rPr>
          <w:rFonts w:ascii="Tahoma" w:hAnsi="Tahoma"/>
        </w:rPr>
        <w:t>Désigner un interlocuteur de l’action collective afin de soutenir le porteur transparent dans l’exécution de l’action collective,</w:t>
      </w:r>
    </w:p>
    <w:p w:rsidR="00D47A98" w:rsidRDefault="00C504E0">
      <w:pPr>
        <w:pStyle w:val="Paragraphedeliste"/>
        <w:numPr>
          <w:ilvl w:val="0"/>
          <w:numId w:val="4"/>
        </w:numPr>
        <w:spacing w:after="0"/>
        <w:jc w:val="both"/>
      </w:pPr>
      <w:r>
        <w:rPr>
          <w:rFonts w:ascii="Tahoma" w:hAnsi="Tahoma"/>
        </w:rPr>
        <w:t xml:space="preserve">Communiquer au porteur transparent toute information et pièces nécessaires à la gestion du dossier (pour constituer la demande d’aide DINAII), </w:t>
      </w:r>
    </w:p>
    <w:p w:rsidR="00D47A98" w:rsidRDefault="00C504E0">
      <w:pPr>
        <w:pStyle w:val="Paragraphedeliste"/>
        <w:numPr>
          <w:ilvl w:val="0"/>
          <w:numId w:val="4"/>
        </w:numPr>
        <w:spacing w:after="0"/>
        <w:jc w:val="both"/>
        <w:rPr>
          <w:rFonts w:ascii="Tahoma" w:hAnsi="Tahoma"/>
        </w:rPr>
      </w:pPr>
      <w:r>
        <w:rPr>
          <w:rFonts w:ascii="Tahoma" w:hAnsi="Tahoma"/>
        </w:rPr>
        <w:t xml:space="preserve">Informer sans délai le porteur transparent de tout évènement susceptible de porter préjudice à l’exécution de l’action collective et communique les mesures prises pour mener à bien son projet, </w:t>
      </w:r>
    </w:p>
    <w:p w:rsidR="00D47A98" w:rsidRDefault="00C504E0">
      <w:pPr>
        <w:pStyle w:val="Paragraphedeliste"/>
        <w:numPr>
          <w:ilvl w:val="0"/>
          <w:numId w:val="4"/>
        </w:numPr>
        <w:spacing w:after="0"/>
        <w:jc w:val="both"/>
      </w:pPr>
      <w:r>
        <w:rPr>
          <w:rFonts w:ascii="Tahoma" w:hAnsi="Tahoma"/>
        </w:rPr>
        <w:t>Communiquer au porteur transparent toutes les pièces complémentaires sollicitées lors de l’instruction du dossier.</w:t>
      </w:r>
    </w:p>
    <w:p w:rsidR="00D47A98" w:rsidRDefault="00D47A98">
      <w:pPr>
        <w:pStyle w:val="Paragraphedeliste"/>
        <w:spacing w:after="0"/>
        <w:ind w:left="0"/>
        <w:jc w:val="both"/>
        <w:rPr>
          <w:rFonts w:ascii="Tahoma" w:hAnsi="Tahoma"/>
        </w:rPr>
      </w:pPr>
    </w:p>
    <w:p w:rsidR="00D47A98" w:rsidRDefault="00C504E0">
      <w:pPr>
        <w:spacing w:after="0"/>
        <w:jc w:val="both"/>
      </w:pPr>
      <w:r>
        <w:rPr>
          <w:rFonts w:ascii="Tahoma" w:hAnsi="Tahoma"/>
          <w:b/>
          <w:i/>
        </w:rPr>
        <w:t xml:space="preserve">En matière de suivi financier : </w:t>
      </w:r>
    </w:p>
    <w:p w:rsidR="00D47A98" w:rsidRDefault="00C504E0">
      <w:pPr>
        <w:pStyle w:val="Paragraphedeliste"/>
        <w:numPr>
          <w:ilvl w:val="0"/>
          <w:numId w:val="9"/>
        </w:numPr>
        <w:spacing w:after="0"/>
        <w:jc w:val="both"/>
      </w:pPr>
      <w:r>
        <w:rPr>
          <w:rFonts w:ascii="Tahoma" w:hAnsi="Tahoma"/>
        </w:rPr>
        <w:t>Accepter la coordination financière du porteur transparent,</w:t>
      </w:r>
    </w:p>
    <w:p w:rsidR="00D47A98" w:rsidRDefault="00C504E0">
      <w:pPr>
        <w:pStyle w:val="Paragraphedeliste"/>
        <w:numPr>
          <w:ilvl w:val="0"/>
          <w:numId w:val="9"/>
        </w:numPr>
        <w:spacing w:after="0"/>
        <w:jc w:val="both"/>
        <w:rPr>
          <w:rFonts w:ascii="Tahoma" w:hAnsi="Tahoma"/>
        </w:rPr>
      </w:pPr>
      <w:r>
        <w:rPr>
          <w:rFonts w:ascii="Tahoma" w:hAnsi="Tahoma"/>
        </w:rPr>
        <w:lastRenderedPageBreak/>
        <w:t>Procéder au remboursement effectif des sommes indûment versées au porteur transparent, et ce dans les meilleurs délais.</w:t>
      </w:r>
    </w:p>
    <w:p w:rsidR="00D47A98" w:rsidRDefault="00D47A98">
      <w:pPr>
        <w:pStyle w:val="Paragraphedeliste"/>
        <w:spacing w:after="0"/>
        <w:jc w:val="both"/>
        <w:rPr>
          <w:rFonts w:ascii="Tahoma" w:hAnsi="Tahoma"/>
        </w:rPr>
      </w:pPr>
    </w:p>
    <w:p w:rsidR="00D47A98" w:rsidRDefault="00C504E0">
      <w:pPr>
        <w:spacing w:after="0"/>
        <w:rPr>
          <w:rFonts w:ascii="Tahoma" w:hAnsi="Tahoma"/>
        </w:rPr>
      </w:pPr>
      <w:r>
        <w:rPr>
          <w:rFonts w:ascii="Tahoma" w:hAnsi="Tahoma"/>
          <w:b/>
          <w:i/>
        </w:rPr>
        <w:t xml:space="preserve">En matière de contrôle : </w:t>
      </w:r>
    </w:p>
    <w:p w:rsidR="00D47A98" w:rsidRDefault="00C504E0">
      <w:pPr>
        <w:pStyle w:val="Paragraphedeliste"/>
        <w:numPr>
          <w:ilvl w:val="0"/>
          <w:numId w:val="5"/>
        </w:numPr>
        <w:spacing w:after="0"/>
        <w:jc w:val="both"/>
      </w:pPr>
      <w:r>
        <w:rPr>
          <w:rFonts w:ascii="Tahoma" w:hAnsi="Tahoma"/>
        </w:rPr>
        <w:t>Se soumettre à tout contrôle sur pièces et sur place effectué par la DRAAF ou les corps d’inspection ou de contrôle nationaux,</w:t>
      </w:r>
    </w:p>
    <w:p w:rsidR="00D47A98" w:rsidRDefault="00C504E0">
      <w:pPr>
        <w:pStyle w:val="Paragraphedeliste"/>
        <w:numPr>
          <w:ilvl w:val="0"/>
          <w:numId w:val="5"/>
        </w:numPr>
        <w:spacing w:after="0"/>
        <w:jc w:val="both"/>
        <w:rPr>
          <w:rFonts w:ascii="Tahoma" w:hAnsi="Tahoma"/>
        </w:rPr>
      </w:pPr>
      <w:r>
        <w:rPr>
          <w:rFonts w:ascii="Tahoma" w:hAnsi="Tahoma"/>
        </w:rPr>
        <w:t xml:space="preserve">Communiquer au porteur transparent toute information et pièces nécessaires permettant de répondre aux demandes des corps de contrôle dans les délais requis, </w:t>
      </w:r>
    </w:p>
    <w:p w:rsidR="00D47A98" w:rsidRDefault="00C504E0">
      <w:pPr>
        <w:pStyle w:val="Paragraphedeliste"/>
        <w:numPr>
          <w:ilvl w:val="0"/>
          <w:numId w:val="5"/>
        </w:numPr>
        <w:spacing w:after="0"/>
        <w:jc w:val="both"/>
        <w:rPr>
          <w:rFonts w:ascii="Tahoma" w:hAnsi="Tahoma"/>
        </w:rPr>
      </w:pPr>
      <w:r>
        <w:rPr>
          <w:rFonts w:ascii="Tahoma" w:hAnsi="Tahoma"/>
        </w:rPr>
        <w:t>Il conserve et rend disponible, sur demande des corps de contrôle, toutes les pièces relatives à l’action collective et à sa mise en œuvre, jusqu’à la fin de la période d’engagement définie par la convention attributive de l’aide DINAII.</w:t>
      </w:r>
    </w:p>
    <w:p w:rsidR="00D47A98" w:rsidRDefault="00D47A98">
      <w:pPr>
        <w:pStyle w:val="Paragraphedeliste"/>
        <w:spacing w:after="0"/>
        <w:ind w:left="0"/>
        <w:jc w:val="both"/>
        <w:rPr>
          <w:rFonts w:ascii="Tahoma" w:hAnsi="Tahoma"/>
        </w:rPr>
      </w:pPr>
    </w:p>
    <w:p w:rsidR="00D47A98" w:rsidRDefault="00C504E0">
      <w:pPr>
        <w:pStyle w:val="Paragraphedeliste"/>
        <w:tabs>
          <w:tab w:val="left" w:pos="0"/>
        </w:tabs>
        <w:spacing w:after="0"/>
        <w:ind w:left="0"/>
        <w:jc w:val="both"/>
      </w:pPr>
      <w:r>
        <w:rPr>
          <w:rFonts w:ascii="Tahoma" w:hAnsi="Tahoma"/>
          <w:b/>
        </w:rPr>
        <w:t>Article 6 : Obligations et responsabilités communes au porteur transparent et au partenaire</w:t>
      </w:r>
    </w:p>
    <w:p w:rsidR="00D47A98" w:rsidRDefault="00D47A98">
      <w:pPr>
        <w:pStyle w:val="Paragraphedeliste"/>
        <w:tabs>
          <w:tab w:val="left" w:pos="0"/>
        </w:tabs>
        <w:spacing w:after="0"/>
        <w:ind w:left="0"/>
        <w:jc w:val="both"/>
        <w:rPr>
          <w:b/>
          <w:u w:val="single"/>
        </w:rPr>
      </w:pPr>
    </w:p>
    <w:p w:rsidR="00D47A98" w:rsidRDefault="00C504E0">
      <w:pPr>
        <w:pStyle w:val="Paragraphedeliste"/>
        <w:tabs>
          <w:tab w:val="left" w:pos="0"/>
        </w:tabs>
        <w:spacing w:after="0"/>
        <w:ind w:left="0"/>
        <w:jc w:val="both"/>
        <w:rPr>
          <w:rFonts w:ascii="Tahoma" w:hAnsi="Tahoma"/>
        </w:rPr>
      </w:pPr>
      <w:r>
        <w:rPr>
          <w:rFonts w:ascii="Tahoma" w:hAnsi="Tahoma"/>
        </w:rPr>
        <w:t xml:space="preserve">Le porteur transparent et le partenaire s’engagent à appliquer des règles d’éligibilité et de justification des dépenses conformément à la réglementation nationale afin de s’y conformer. </w:t>
      </w:r>
    </w:p>
    <w:p w:rsidR="00D47A98" w:rsidRDefault="00D47A98">
      <w:pPr>
        <w:pStyle w:val="Paragraphedeliste"/>
        <w:tabs>
          <w:tab w:val="left" w:pos="0"/>
        </w:tabs>
        <w:spacing w:after="0"/>
        <w:ind w:left="0"/>
        <w:jc w:val="both"/>
        <w:rPr>
          <w:rFonts w:ascii="Tahoma" w:hAnsi="Tahoma"/>
        </w:rPr>
      </w:pPr>
    </w:p>
    <w:p w:rsidR="00D47A98" w:rsidRDefault="00C504E0">
      <w:pPr>
        <w:pStyle w:val="Paragraphedeliste"/>
        <w:tabs>
          <w:tab w:val="left" w:pos="0"/>
        </w:tabs>
        <w:spacing w:after="0"/>
        <w:ind w:left="0"/>
        <w:jc w:val="both"/>
        <w:rPr>
          <w:rFonts w:ascii="Tahoma" w:hAnsi="Tahoma"/>
        </w:rPr>
      </w:pPr>
      <w:r>
        <w:rPr>
          <w:rFonts w:ascii="Tahoma" w:hAnsi="Tahoma"/>
        </w:rPr>
        <w:t>Ils s’engagent à appliquer les règles sectorielles notamment concernant les aides d’Etat et la concurrence afin de s’y conformer, et communiquent toute pièce justificative.</w:t>
      </w:r>
    </w:p>
    <w:p w:rsidR="00D47A98" w:rsidRDefault="00D47A98">
      <w:pPr>
        <w:pStyle w:val="Paragraphedeliste"/>
        <w:tabs>
          <w:tab w:val="left" w:pos="0"/>
        </w:tabs>
        <w:spacing w:after="0"/>
        <w:ind w:left="0"/>
        <w:jc w:val="both"/>
        <w:rPr>
          <w:rFonts w:ascii="Tahoma" w:hAnsi="Tahoma"/>
        </w:rPr>
      </w:pPr>
    </w:p>
    <w:p w:rsidR="00D47A98" w:rsidRDefault="00C504E0">
      <w:pPr>
        <w:pStyle w:val="Paragraphedeliste"/>
        <w:tabs>
          <w:tab w:val="left" w:pos="0"/>
        </w:tabs>
        <w:spacing w:after="0"/>
        <w:ind w:left="0"/>
        <w:jc w:val="both"/>
        <w:rPr>
          <w:rFonts w:ascii="Tahoma" w:hAnsi="Tahoma"/>
        </w:rPr>
      </w:pPr>
      <w:r>
        <w:rPr>
          <w:rFonts w:ascii="Tahoma" w:hAnsi="Tahoma"/>
        </w:rPr>
        <w:t xml:space="preserve">Ils s'engagent à être </w:t>
      </w:r>
      <w:r>
        <w:rPr>
          <w:rFonts w:ascii="Tahoma" w:eastAsia="Times New Roman" w:hAnsi="Tahoma" w:cs="Tahoma"/>
          <w:bCs/>
          <w:lang w:eastAsia="zh-CN"/>
        </w:rPr>
        <w:t>à jour de leurs obligations légales, administratives, sociales, fiscales et comptables.</w:t>
      </w:r>
    </w:p>
    <w:p w:rsidR="00D47A98" w:rsidRDefault="00C504E0">
      <w:pPr>
        <w:pStyle w:val="Paragraphedeliste"/>
        <w:tabs>
          <w:tab w:val="left" w:pos="0"/>
        </w:tabs>
        <w:spacing w:after="0"/>
        <w:ind w:left="0"/>
        <w:jc w:val="both"/>
        <w:rPr>
          <w:rFonts w:ascii="Tahoma" w:hAnsi="Tahoma"/>
        </w:rPr>
      </w:pPr>
      <w:r>
        <w:rPr>
          <w:rFonts w:ascii="Tahoma" w:eastAsia="Times New Roman" w:hAnsi="Tahoma" w:cs="Tahoma"/>
          <w:bCs/>
          <w:lang w:eastAsia="zh-CN"/>
        </w:rPr>
        <w:t xml:space="preserve"> </w:t>
      </w:r>
    </w:p>
    <w:p w:rsidR="00D47A98" w:rsidRDefault="00C504E0">
      <w:pPr>
        <w:pStyle w:val="Paragraphedeliste"/>
        <w:tabs>
          <w:tab w:val="left" w:pos="0"/>
        </w:tabs>
        <w:spacing w:after="0"/>
        <w:ind w:left="0"/>
        <w:jc w:val="both"/>
      </w:pPr>
      <w:r>
        <w:rPr>
          <w:rFonts w:ascii="Tahoma" w:eastAsia="Times New Roman" w:hAnsi="Tahoma" w:cs="Tahoma"/>
          <w:bCs/>
          <w:lang w:eastAsia="zh-CN"/>
        </w:rPr>
        <w:t>Ils s'engagent à ne pas être en difficulté. En effet, p</w:t>
      </w:r>
      <w:r>
        <w:rPr>
          <w:rStyle w:val="CharAttribute3"/>
          <w:rFonts w:ascii="Tahoma" w:hAnsi="Tahoma"/>
          <w:color w:val="000000"/>
          <w:shd w:val="clear" w:color="auto" w:fill="FFFFFF"/>
          <w:lang w:eastAsia="zh-CN"/>
        </w:rPr>
        <w:t>our bénéficier d'une aide d’État, une entreprise ne doit pas être considérée comme une entreprise en diffic</w:t>
      </w:r>
      <w:r>
        <w:rPr>
          <w:rStyle w:val="CharAttribute3"/>
          <w:rFonts w:ascii="Tahoma" w:hAnsi="Tahoma"/>
          <w:color w:val="000000"/>
          <w:shd w:val="clear" w:color="auto" w:fill="FFFFFF"/>
          <w:lang w:eastAsia="fr-FR"/>
        </w:rPr>
        <w:t>ulté au sens des lignes directrices de la Commission européenne (2014/C249/01) concernant les aides au sauvetage et à la restructuration des entreprises en difficulté du 31 juillet 2014 et du RGEC susvisé. Cette notion est explicitée dans la circulaire du Premier Ministre susvisée du 26 avril 2017 fiche 3 point 2i.</w:t>
      </w:r>
    </w:p>
    <w:p w:rsidR="00D47A98" w:rsidRDefault="00D47A98">
      <w:pPr>
        <w:pStyle w:val="Paragraphedeliste"/>
        <w:tabs>
          <w:tab w:val="left" w:pos="0"/>
        </w:tabs>
        <w:spacing w:after="0"/>
        <w:ind w:left="0"/>
        <w:jc w:val="both"/>
        <w:rPr>
          <w:rFonts w:ascii="Tahoma" w:hAnsi="Tahoma"/>
        </w:rPr>
      </w:pPr>
    </w:p>
    <w:p w:rsidR="00D47A98" w:rsidRDefault="00C504E0">
      <w:pPr>
        <w:spacing w:after="0"/>
        <w:jc w:val="both"/>
        <w:rPr>
          <w:rFonts w:ascii="Tahoma" w:hAnsi="Tahoma"/>
        </w:rPr>
      </w:pPr>
      <w:r>
        <w:rPr>
          <w:rFonts w:ascii="Tahoma" w:hAnsi="Tahoma"/>
          <w:b/>
        </w:rPr>
        <w:t>Article 7 : Modalités de versements des subventions au porteur transparent et aux partenaires</w:t>
      </w:r>
    </w:p>
    <w:p w:rsidR="00D47A98" w:rsidRDefault="00D47A98">
      <w:pPr>
        <w:spacing w:after="0"/>
        <w:jc w:val="both"/>
        <w:rPr>
          <w:b/>
        </w:rPr>
      </w:pPr>
    </w:p>
    <w:p w:rsidR="00D47A98" w:rsidRDefault="00C504E0">
      <w:pPr>
        <w:spacing w:after="0"/>
        <w:jc w:val="both"/>
        <w:rPr>
          <w:rFonts w:ascii="Tahoma" w:hAnsi="Tahoma"/>
        </w:rPr>
      </w:pPr>
      <w:r>
        <w:rPr>
          <w:rFonts w:ascii="Tahoma" w:hAnsi="Tahoma"/>
        </w:rPr>
        <w:t>Le paiement de l’aide intervient selon la disponibilité des crédits, sur justification de la réalisation de l’action collective et de la justification des dépenses prévues dans la convention attributive de l'aide DINAII.</w:t>
      </w:r>
    </w:p>
    <w:p w:rsidR="00D47A98" w:rsidRDefault="00D47A98">
      <w:pPr>
        <w:spacing w:after="0"/>
        <w:jc w:val="both"/>
        <w:rPr>
          <w:rFonts w:ascii="Tahoma" w:hAnsi="Tahoma"/>
        </w:rPr>
      </w:pPr>
    </w:p>
    <w:p w:rsidR="00D47A98" w:rsidRDefault="00C504E0">
      <w:pPr>
        <w:pStyle w:val="Paragraphedeliste"/>
        <w:spacing w:after="0"/>
        <w:ind w:left="0"/>
        <w:jc w:val="both"/>
        <w:rPr>
          <w:rFonts w:ascii="Tahoma" w:hAnsi="Tahoma"/>
        </w:rPr>
      </w:pPr>
      <w:r>
        <w:rPr>
          <w:rFonts w:ascii="Tahoma" w:hAnsi="Tahoma"/>
        </w:rPr>
        <w:t xml:space="preserve">Le porteur transparent prépare et consolide une demande de paiement et la transmet à la DRAAF quand l'action collective et terminée. Il sollicite au nom de tous les partenaires l'aide publique de la DRAAF. </w:t>
      </w:r>
    </w:p>
    <w:p w:rsidR="00D47A98" w:rsidRDefault="00D47A98">
      <w:pPr>
        <w:pStyle w:val="Paragraphedeliste"/>
        <w:spacing w:after="0"/>
        <w:ind w:left="0"/>
        <w:jc w:val="both"/>
        <w:rPr>
          <w:rFonts w:ascii="Tahoma" w:hAnsi="Tahoma"/>
        </w:rPr>
      </w:pPr>
    </w:p>
    <w:p w:rsidR="00D47A98" w:rsidRDefault="00C504E0">
      <w:pPr>
        <w:pStyle w:val="Paragraphedeliste"/>
        <w:spacing w:after="0"/>
        <w:ind w:left="0"/>
        <w:jc w:val="both"/>
        <w:rPr>
          <w:rFonts w:ascii="Tahoma" w:hAnsi="Tahoma"/>
        </w:rPr>
      </w:pPr>
      <w:r>
        <w:rPr>
          <w:rFonts w:ascii="Tahoma" w:hAnsi="Tahoma"/>
        </w:rPr>
        <w:t>La DRAAF s’assure de la conformité des dépenses présentées dans la demande de paiement du porteur transparent et des pièces justificatives correspondantes.</w:t>
      </w:r>
    </w:p>
    <w:p w:rsidR="00D47A98" w:rsidRDefault="00D47A98">
      <w:pPr>
        <w:pStyle w:val="Paragraphedeliste"/>
        <w:spacing w:after="0"/>
        <w:ind w:left="0"/>
        <w:jc w:val="both"/>
        <w:rPr>
          <w:rFonts w:ascii="Tahoma" w:hAnsi="Tahoma"/>
        </w:rPr>
      </w:pPr>
    </w:p>
    <w:p w:rsidR="00D47A98" w:rsidRDefault="00C504E0">
      <w:pPr>
        <w:pStyle w:val="Paragraphedeliste"/>
        <w:spacing w:after="0"/>
        <w:ind w:left="0"/>
        <w:jc w:val="both"/>
      </w:pPr>
      <w:r>
        <w:rPr>
          <w:rFonts w:ascii="Tahoma" w:hAnsi="Tahoma"/>
        </w:rPr>
        <w:lastRenderedPageBreak/>
        <w:t xml:space="preserve">Le porteur transparent répercute le montant de l'équivalent subvention dû au partenaires du projet, </w:t>
      </w:r>
      <w:r>
        <w:rPr>
          <w:rFonts w:ascii="Tahoma" w:hAnsi="Tahoma"/>
          <w:shd w:val="clear" w:color="auto" w:fill="FFFF00"/>
        </w:rPr>
        <w:t xml:space="preserve">[montant en € (HT ou TTC)] </w:t>
      </w:r>
      <w:r>
        <w:rPr>
          <w:rFonts w:ascii="Tahoma" w:hAnsi="Tahoma"/>
        </w:rPr>
        <w:t xml:space="preserve">via </w:t>
      </w:r>
      <w:r>
        <w:rPr>
          <w:rFonts w:ascii="Tahoma" w:hAnsi="Tahoma"/>
          <w:color w:val="111111"/>
          <w:shd w:val="clear" w:color="auto" w:fill="FFFF00"/>
        </w:rPr>
        <w:t>[décrire les modalités de répercussion de l'aide : réduction de prix de la prestation par rapport aux prix du marché par exemple] :</w:t>
      </w:r>
    </w:p>
    <w:p w:rsidR="00D47A98" w:rsidRDefault="00D47A98">
      <w:pPr>
        <w:pStyle w:val="Paragraphedeliste"/>
        <w:spacing w:after="0"/>
        <w:ind w:left="0"/>
        <w:jc w:val="both"/>
        <w:rPr>
          <w:shd w:val="clear" w:color="auto" w:fill="FFFFFF"/>
        </w:rPr>
      </w:pPr>
    </w:p>
    <w:p w:rsidR="00D47A98" w:rsidRDefault="00C504E0">
      <w:pPr>
        <w:pStyle w:val="Paragraphedeliste"/>
        <w:spacing w:after="0"/>
        <w:ind w:left="0"/>
        <w:jc w:val="both"/>
      </w:pPr>
      <w:r>
        <w:rPr>
          <w:rFonts w:ascii="Tahoma" w:hAnsi="Tahoma"/>
          <w:color w:val="111111"/>
          <w:shd w:val="clear" w:color="auto" w:fill="FFFFFF"/>
        </w:rPr>
        <w:t>_______________________________________________________________________________</w:t>
      </w:r>
      <w:r>
        <w:rPr>
          <w:rFonts w:ascii="Tahoma" w:hAnsi="Tahoma"/>
          <w:b/>
          <w:color w:val="111111"/>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A98" w:rsidRDefault="00D47A98">
      <w:pPr>
        <w:pStyle w:val="Paragraphedeliste"/>
        <w:spacing w:after="0"/>
        <w:ind w:left="0"/>
        <w:jc w:val="both"/>
        <w:rPr>
          <w:rFonts w:ascii="Tahoma" w:hAnsi="Tahoma"/>
          <w:color w:val="111111"/>
        </w:rPr>
      </w:pPr>
    </w:p>
    <w:p w:rsidR="00D47A98" w:rsidRDefault="00C504E0">
      <w:pPr>
        <w:pStyle w:val="Paragraphedeliste"/>
        <w:spacing w:after="0"/>
        <w:ind w:left="0"/>
        <w:jc w:val="both"/>
      </w:pPr>
      <w:r>
        <w:rPr>
          <w:rFonts w:ascii="Tahoma" w:hAnsi="Tahoma"/>
        </w:rPr>
        <w:t>L’Agence de Services et de Paiement, l'organisme payeur, verse la subvention au porteur transparent, correspondant aux dépenses présentées dans la demande de paiement.</w:t>
      </w:r>
    </w:p>
    <w:p w:rsidR="00D47A98" w:rsidRDefault="00D47A98">
      <w:pPr>
        <w:pStyle w:val="Paragraphedeliste"/>
        <w:spacing w:after="0"/>
        <w:ind w:left="0"/>
        <w:jc w:val="both"/>
        <w:rPr>
          <w:rFonts w:ascii="Tahoma" w:hAnsi="Tahoma"/>
          <w:b/>
        </w:rPr>
      </w:pPr>
    </w:p>
    <w:p w:rsidR="00D47A98" w:rsidRDefault="00C504E0">
      <w:pPr>
        <w:pStyle w:val="Paragraphedeliste"/>
        <w:spacing w:after="0"/>
        <w:ind w:left="0"/>
        <w:jc w:val="both"/>
      </w:pPr>
      <w:r>
        <w:rPr>
          <w:rFonts w:ascii="Tahoma" w:hAnsi="Tahoma"/>
          <w:b/>
        </w:rPr>
        <w:t xml:space="preserve">Article 8 : Résiliation – Reversement </w:t>
      </w:r>
    </w:p>
    <w:p w:rsidR="00D47A98" w:rsidRDefault="00D47A98">
      <w:pPr>
        <w:pStyle w:val="Paragraphedeliste"/>
        <w:spacing w:after="0"/>
        <w:ind w:left="0"/>
        <w:jc w:val="both"/>
        <w:rPr>
          <w:b/>
        </w:rPr>
      </w:pPr>
    </w:p>
    <w:p w:rsidR="00D47A98" w:rsidRDefault="00C504E0">
      <w:pPr>
        <w:spacing w:after="0"/>
        <w:jc w:val="both"/>
        <w:rPr>
          <w:rFonts w:ascii="Tahoma" w:hAnsi="Tahoma"/>
        </w:rPr>
      </w:pPr>
      <w:r>
        <w:rPr>
          <w:rFonts w:ascii="Tahoma" w:hAnsi="Tahoma"/>
        </w:rPr>
        <w:t xml:space="preserve">En cas de non-exécution totale ou partielle de l’action collective, de l’utilisation des fonds non conformes à l’objet de la présente convention, ou du refus de se soumettre aux contrôles, la DRAAF décide de mettre fin à l’aide et d’exiger le reversement total ou partiel des sommes déjà versées, majoré d’intérêts de retard et éventuellement de pénalité financière, sans préjudice des autres poursuites et sanctions prévues dans les textes en vigueur. </w:t>
      </w:r>
    </w:p>
    <w:p w:rsidR="00D47A98" w:rsidRDefault="00D47A98">
      <w:pPr>
        <w:spacing w:after="0"/>
        <w:jc w:val="both"/>
        <w:rPr>
          <w:rFonts w:ascii="Tahoma" w:hAnsi="Tahoma"/>
        </w:rPr>
      </w:pPr>
    </w:p>
    <w:p w:rsidR="00D47A98" w:rsidRDefault="00C504E0">
      <w:pPr>
        <w:spacing w:after="0"/>
        <w:jc w:val="both"/>
        <w:rPr>
          <w:rFonts w:ascii="Tahoma" w:hAnsi="Tahoma"/>
        </w:rPr>
      </w:pPr>
      <w:r>
        <w:rPr>
          <w:rFonts w:ascii="Tahoma" w:hAnsi="Tahoma"/>
        </w:rPr>
        <w:t xml:space="preserve">Dans le cas où, pendant la période d’engagement de l’action collective, celle-ci connaîtrait une modification importante affectant sa nature ou ses conditions de mise en œuvre ou procurant un avantage indu au partenaire ou à un des tiers et résultant soit d’un changement d’affectation sans autorisation ou d’un changement de propriété de l’objet de la subvention, soit de l’arrêt ou du changement de localisation d’une activité productive, le reversement partiel ou total des sommes versées sera exigé. </w:t>
      </w:r>
    </w:p>
    <w:p w:rsidR="00D47A98" w:rsidRDefault="00D47A98">
      <w:pPr>
        <w:spacing w:after="0"/>
        <w:jc w:val="both"/>
        <w:rPr>
          <w:rFonts w:ascii="Tahoma" w:hAnsi="Tahoma"/>
        </w:rPr>
      </w:pPr>
    </w:p>
    <w:p w:rsidR="00D47A98" w:rsidRDefault="00C504E0">
      <w:pPr>
        <w:spacing w:after="0"/>
        <w:jc w:val="both"/>
      </w:pPr>
      <w:r>
        <w:rPr>
          <w:rFonts w:ascii="Tahoma" w:hAnsi="Tahoma"/>
        </w:rPr>
        <w:t>Le partenaire qui souhaite abandonner son projet peut demander la résiliation de la présente convention par lettre recommandée à l’adresse du porteur transparent afin que celui-ci en informe la DRAAF.</w:t>
      </w:r>
    </w:p>
    <w:p w:rsidR="00D47A98" w:rsidRDefault="00D47A98">
      <w:pPr>
        <w:spacing w:after="0"/>
        <w:jc w:val="both"/>
        <w:rPr>
          <w:rFonts w:ascii="Tahoma" w:hAnsi="Tahoma"/>
        </w:rPr>
      </w:pPr>
    </w:p>
    <w:p w:rsidR="00D47A98" w:rsidRDefault="00C504E0">
      <w:pPr>
        <w:spacing w:after="0"/>
        <w:jc w:val="both"/>
      </w:pPr>
      <w:r>
        <w:rPr>
          <w:rFonts w:ascii="Tahoma" w:hAnsi="Tahoma"/>
        </w:rPr>
        <w:t xml:space="preserve">En cas de non-respect des engagements et/ou clauses de la décision juridique par l’un ou plusieurs des partenaires, le « porteur transparent » devra procéder au reversement des sommes indûment perçues. </w:t>
      </w:r>
    </w:p>
    <w:p w:rsidR="00D47A98" w:rsidRDefault="00D47A98">
      <w:pPr>
        <w:spacing w:after="0"/>
        <w:jc w:val="both"/>
        <w:rPr>
          <w:rFonts w:ascii="Tahoma" w:hAnsi="Tahoma"/>
        </w:rPr>
      </w:pPr>
    </w:p>
    <w:p w:rsidR="00D47A98" w:rsidRDefault="00C504E0">
      <w:pPr>
        <w:spacing w:after="0"/>
        <w:jc w:val="both"/>
        <w:rPr>
          <w:rFonts w:ascii="Tahoma" w:hAnsi="Tahoma"/>
        </w:rPr>
      </w:pPr>
      <w:r>
        <w:rPr>
          <w:rFonts w:ascii="Tahoma" w:hAnsi="Tahoma"/>
          <w:b/>
        </w:rPr>
        <w:t>Article 9 : Information et publicité</w:t>
      </w:r>
    </w:p>
    <w:p w:rsidR="00D47A98" w:rsidRDefault="00C504E0" w:rsidP="00D95B58">
      <w:pPr>
        <w:spacing w:after="0"/>
        <w:jc w:val="both"/>
      </w:pPr>
      <w:r w:rsidRPr="00D95B58">
        <w:rPr>
          <w:rFonts w:ascii="Tahoma" w:hAnsi="Tahoma"/>
        </w:rPr>
        <w:t xml:space="preserve">Les bénéficiaires s'engagent à mettre en évidence la participation du Ministère de </w:t>
      </w:r>
      <w:r w:rsidR="003240C5" w:rsidRPr="00D95B58">
        <w:rPr>
          <w:rFonts w:ascii="Tahoma" w:hAnsi="Tahoma"/>
        </w:rPr>
        <w:t>l’A</w:t>
      </w:r>
      <w:r w:rsidRPr="00D95B58">
        <w:rPr>
          <w:rFonts w:ascii="Tahoma" w:hAnsi="Tahoma"/>
        </w:rPr>
        <w:t xml:space="preserve">griculture et de la </w:t>
      </w:r>
      <w:r w:rsidR="003240C5" w:rsidRPr="00D95B58">
        <w:rPr>
          <w:rFonts w:ascii="Tahoma" w:hAnsi="Tahoma"/>
        </w:rPr>
        <w:t>S</w:t>
      </w:r>
      <w:r w:rsidRPr="00D95B58">
        <w:rPr>
          <w:rFonts w:ascii="Tahoma" w:hAnsi="Tahoma"/>
        </w:rPr>
        <w:t xml:space="preserve">ouveraineté </w:t>
      </w:r>
      <w:r w:rsidR="003240C5" w:rsidRPr="00D95B58">
        <w:rPr>
          <w:rFonts w:ascii="Tahoma" w:hAnsi="Tahoma"/>
        </w:rPr>
        <w:t>A</w:t>
      </w:r>
      <w:r w:rsidRPr="00D95B58">
        <w:rPr>
          <w:rFonts w:ascii="Tahoma" w:hAnsi="Tahoma"/>
        </w:rPr>
        <w:t>limenta</w:t>
      </w:r>
      <w:r w:rsidR="003240C5" w:rsidRPr="00D95B58">
        <w:rPr>
          <w:rFonts w:ascii="Tahoma" w:hAnsi="Tahoma"/>
        </w:rPr>
        <w:t>ire</w:t>
      </w:r>
      <w:r w:rsidRPr="00D95B58">
        <w:rPr>
          <w:rFonts w:ascii="Tahoma" w:hAnsi="Tahoma"/>
        </w:rPr>
        <w:t xml:space="preserve"> dans toutes les communications réalisées pour le </w:t>
      </w:r>
      <w:r w:rsidR="003240C5" w:rsidRPr="00D95B58">
        <w:rPr>
          <w:rFonts w:ascii="Tahoma" w:hAnsi="Tahoma"/>
        </w:rPr>
        <w:t>projet.</w:t>
      </w:r>
      <w:r w:rsidRPr="00D95B58">
        <w:rPr>
          <w:rFonts w:ascii="Tahoma" w:hAnsi="Tahoma"/>
        </w:rPr>
        <w:t xml:space="preserve"> Ils s’engagent à informer le public du concours financier qui leur est alloué par la DRAAF au titre du DINAII.</w:t>
      </w:r>
    </w:p>
    <w:p w:rsidR="00D47A98" w:rsidRDefault="00D47A98">
      <w:pPr>
        <w:pStyle w:val="Paragraphedeliste"/>
        <w:spacing w:after="0"/>
        <w:jc w:val="both"/>
        <w:rPr>
          <w:rFonts w:ascii="Tahoma" w:hAnsi="Tahoma"/>
        </w:rPr>
      </w:pPr>
    </w:p>
    <w:p w:rsidR="00D47A98" w:rsidRDefault="00D47A98">
      <w:pPr>
        <w:pStyle w:val="Paragraphedeliste"/>
        <w:spacing w:after="0"/>
        <w:jc w:val="both"/>
        <w:rPr>
          <w:rFonts w:ascii="Tahoma" w:hAnsi="Tahoma"/>
        </w:rPr>
      </w:pPr>
    </w:p>
    <w:p w:rsidR="00D47A98" w:rsidRDefault="00C504E0">
      <w:pPr>
        <w:spacing w:after="0"/>
        <w:jc w:val="both"/>
      </w:pPr>
      <w:r>
        <w:rPr>
          <w:rFonts w:ascii="Tahoma" w:hAnsi="Tahoma"/>
          <w:b/>
        </w:rPr>
        <w:t>Article 10 : Conservation des pièces justificatives</w:t>
      </w:r>
    </w:p>
    <w:p w:rsidR="00D47A98" w:rsidRDefault="00C504E0">
      <w:pPr>
        <w:spacing w:after="0"/>
        <w:jc w:val="both"/>
        <w:rPr>
          <w:rFonts w:ascii="Tahoma" w:hAnsi="Tahoma"/>
        </w:rPr>
      </w:pPr>
      <w:r>
        <w:rPr>
          <w:rFonts w:ascii="Tahoma" w:hAnsi="Tahoma"/>
        </w:rPr>
        <w:t>Le porteur transparent et le partenaire conservent toutes les pièces justificatives en cohérence en avec la date limite fixée dans la convention attributive de l’aide DINAII.</w:t>
      </w:r>
    </w:p>
    <w:p w:rsidR="00D47A98" w:rsidRDefault="00D47A98">
      <w:pPr>
        <w:spacing w:after="0"/>
        <w:jc w:val="both"/>
        <w:rPr>
          <w:b/>
        </w:rPr>
      </w:pPr>
    </w:p>
    <w:p w:rsidR="00D47A98" w:rsidRDefault="00C504E0">
      <w:pPr>
        <w:spacing w:after="0"/>
        <w:jc w:val="both"/>
        <w:rPr>
          <w:b/>
        </w:rPr>
      </w:pPr>
      <w:r>
        <w:rPr>
          <w:rFonts w:ascii="Tahoma" w:hAnsi="Tahoma"/>
          <w:b/>
        </w:rPr>
        <w:t>Article 11 : Modification de la convention</w:t>
      </w:r>
    </w:p>
    <w:p w:rsidR="00D47A98" w:rsidRDefault="00C504E0">
      <w:pPr>
        <w:pStyle w:val="Paragraphedeliste"/>
        <w:numPr>
          <w:ilvl w:val="0"/>
          <w:numId w:val="7"/>
        </w:numPr>
        <w:spacing w:after="0"/>
        <w:jc w:val="both"/>
        <w:rPr>
          <w:rFonts w:ascii="Tahoma" w:hAnsi="Tahoma"/>
        </w:rPr>
      </w:pPr>
      <w:r>
        <w:rPr>
          <w:rFonts w:ascii="Tahoma" w:hAnsi="Tahoma"/>
        </w:rPr>
        <w:t>Les dispositions de la présente convention peuvent être modifiées par voie d’avenant signé par chacune des parties contractuelles</w:t>
      </w:r>
      <w:r>
        <w:rPr>
          <w:rFonts w:ascii="Tahoma" w:hAnsi="Tahoma"/>
          <w:b/>
        </w:rPr>
        <w:t>,</w:t>
      </w:r>
    </w:p>
    <w:p w:rsidR="00D47A98" w:rsidRDefault="00C504E0">
      <w:pPr>
        <w:pStyle w:val="Paragraphedeliste"/>
        <w:numPr>
          <w:ilvl w:val="0"/>
          <w:numId w:val="7"/>
        </w:numPr>
        <w:spacing w:after="0"/>
        <w:jc w:val="both"/>
        <w:rPr>
          <w:rFonts w:ascii="Tahoma" w:hAnsi="Tahoma"/>
        </w:rPr>
      </w:pPr>
      <w:r>
        <w:rPr>
          <w:rFonts w:ascii="Tahoma" w:hAnsi="Tahoma"/>
        </w:rPr>
        <w:t>Les dates relatives à la durée de validité du partenariat ne peuvent être modifiées que par un avenant à la convention de partenariat,</w:t>
      </w:r>
    </w:p>
    <w:p w:rsidR="00D47A98" w:rsidRDefault="00C504E0">
      <w:pPr>
        <w:pStyle w:val="Paragraphedeliste"/>
        <w:numPr>
          <w:ilvl w:val="0"/>
          <w:numId w:val="7"/>
        </w:numPr>
        <w:spacing w:after="0"/>
        <w:jc w:val="both"/>
      </w:pPr>
      <w:r>
        <w:rPr>
          <w:rFonts w:ascii="Tahoma" w:hAnsi="Tahoma"/>
        </w:rPr>
        <w:t>Toute modification de cette convention doit être communiquée sans délai à la DRAAF.</w:t>
      </w:r>
    </w:p>
    <w:p w:rsidR="00D47A98" w:rsidRDefault="00D47A98">
      <w:pPr>
        <w:pStyle w:val="Paragraphedeliste"/>
        <w:spacing w:after="0"/>
        <w:jc w:val="both"/>
        <w:rPr>
          <w:rFonts w:ascii="Tahoma" w:hAnsi="Tahoma"/>
        </w:rPr>
      </w:pPr>
    </w:p>
    <w:p w:rsidR="00D47A98" w:rsidRDefault="00C504E0">
      <w:pPr>
        <w:spacing w:after="0"/>
        <w:jc w:val="both"/>
      </w:pPr>
      <w:r>
        <w:rPr>
          <w:rFonts w:ascii="Tahoma" w:hAnsi="Tahoma"/>
          <w:b/>
        </w:rPr>
        <w:t>Article 12 : Traitement des litiges</w:t>
      </w:r>
    </w:p>
    <w:p w:rsidR="00D47A98" w:rsidRDefault="00D47A98">
      <w:pPr>
        <w:spacing w:after="0"/>
        <w:jc w:val="both"/>
        <w:rPr>
          <w:rFonts w:ascii="Tahoma" w:hAnsi="Tahoma"/>
          <w:b/>
        </w:rPr>
      </w:pPr>
    </w:p>
    <w:p w:rsidR="00D47A98" w:rsidRDefault="00C504E0">
      <w:pPr>
        <w:spacing w:after="0"/>
        <w:jc w:val="both"/>
        <w:rPr>
          <w:rFonts w:ascii="Tahoma" w:hAnsi="Tahoma"/>
        </w:rPr>
      </w:pPr>
      <w:r>
        <w:rPr>
          <w:rFonts w:ascii="Tahoma" w:hAnsi="Tahoma"/>
        </w:rPr>
        <w:t>En cas de litiges, le Tribunal compétent est le Tribunal administratif de</w:t>
      </w:r>
      <w:r>
        <w:rPr>
          <w:rFonts w:ascii="Tahoma" w:hAnsi="Tahoma"/>
          <w:shd w:val="clear" w:color="auto" w:fill="FFFF00"/>
        </w:rPr>
        <w:t xml:space="preserve"> « … »</w:t>
      </w:r>
    </w:p>
    <w:p w:rsidR="00D47A98" w:rsidRDefault="00D47A98">
      <w:pPr>
        <w:spacing w:after="0" w:line="120" w:lineRule="auto"/>
        <w:jc w:val="both"/>
        <w:rPr>
          <w:rFonts w:ascii="Tahoma" w:hAnsi="Tahoma" w:cs="Arial"/>
          <w:shd w:val="clear" w:color="auto" w:fill="FFFFFF"/>
        </w:rPr>
      </w:pPr>
    </w:p>
    <w:p w:rsidR="00D47A98" w:rsidRDefault="00D47A98">
      <w:pPr>
        <w:spacing w:after="0" w:line="120" w:lineRule="auto"/>
        <w:jc w:val="both"/>
        <w:rPr>
          <w:rFonts w:ascii="Tahoma" w:hAnsi="Tahoma" w:cs="Arial"/>
          <w:shd w:val="clear" w:color="auto" w:fill="FFFFFF"/>
        </w:rPr>
      </w:pPr>
    </w:p>
    <w:p w:rsidR="00D47A98" w:rsidRDefault="00D47A98">
      <w:pPr>
        <w:spacing w:after="0" w:line="120" w:lineRule="auto"/>
        <w:jc w:val="both"/>
        <w:rPr>
          <w:rFonts w:ascii="Tahoma" w:hAnsi="Tahoma" w:cs="Arial"/>
          <w:b/>
          <w:bCs/>
          <w:shd w:val="clear" w:color="auto" w:fill="FFFFFF"/>
        </w:rPr>
      </w:pPr>
    </w:p>
    <w:p w:rsidR="00D47A98" w:rsidRDefault="00D47A98">
      <w:pPr>
        <w:spacing w:after="0" w:line="120" w:lineRule="auto"/>
        <w:jc w:val="both"/>
        <w:rPr>
          <w:rFonts w:ascii="Tahoma" w:hAnsi="Tahoma" w:cs="Arial"/>
          <w:b/>
          <w:bCs/>
          <w:shd w:val="clear" w:color="auto" w:fill="FFFFFF"/>
        </w:rPr>
      </w:pPr>
    </w:p>
    <w:p w:rsidR="00D47A98" w:rsidRDefault="00D47A98">
      <w:pPr>
        <w:spacing w:after="0" w:line="120" w:lineRule="auto"/>
        <w:jc w:val="both"/>
        <w:rPr>
          <w:rFonts w:ascii="Tahoma" w:hAnsi="Tahoma" w:cs="Arial"/>
          <w:b/>
          <w:bCs/>
          <w:shd w:val="clear" w:color="auto" w:fill="FFFFFF"/>
        </w:rPr>
      </w:pPr>
    </w:p>
    <w:p w:rsidR="00D47A98" w:rsidRDefault="00D47A98">
      <w:pPr>
        <w:spacing w:after="0" w:line="120" w:lineRule="auto"/>
        <w:jc w:val="both"/>
        <w:rPr>
          <w:rFonts w:ascii="Tahoma" w:hAnsi="Tahoma" w:cs="Arial"/>
          <w:b/>
          <w:bCs/>
          <w:shd w:val="clear" w:color="auto" w:fill="FFFFFF"/>
        </w:rPr>
      </w:pPr>
    </w:p>
    <w:p w:rsidR="00D47A98" w:rsidRDefault="00C504E0">
      <w:pPr>
        <w:pStyle w:val="Pieddepage"/>
        <w:spacing w:line="240" w:lineRule="exact"/>
        <w:rPr>
          <w:rFonts w:ascii="Tahoma" w:hAnsi="Tahoma" w:cs="Arial"/>
          <w:b/>
          <w:bCs/>
          <w:shd w:val="clear" w:color="auto" w:fill="FFFFFF"/>
        </w:rPr>
      </w:pPr>
      <w:r>
        <w:rPr>
          <w:rFonts w:ascii="Tahoma" w:hAnsi="Tahoma" w:cs="Arial"/>
          <w:b/>
          <w:bCs/>
          <w:shd w:val="clear" w:color="auto" w:fill="FFFFFF"/>
        </w:rPr>
        <w:t>Fait à ________________________, le __/__/____</w:t>
      </w: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C504E0">
      <w:pPr>
        <w:pStyle w:val="Pieddepage"/>
        <w:spacing w:line="240" w:lineRule="exact"/>
        <w:rPr>
          <w:rFonts w:ascii="Tahoma" w:hAnsi="Tahoma" w:cs="Arial"/>
          <w:b/>
          <w:bCs/>
          <w:shd w:val="clear" w:color="auto" w:fill="FFFFFF"/>
        </w:rPr>
      </w:pPr>
      <w:r>
        <w:rPr>
          <w:rFonts w:ascii="Tahoma" w:hAnsi="Tahoma" w:cs="Arial"/>
          <w:b/>
          <w:bCs/>
          <w:shd w:val="clear" w:color="auto" w:fill="FFFFFF"/>
        </w:rPr>
        <w:t>Le partenaire,</w:t>
      </w:r>
    </w:p>
    <w:p w:rsidR="00D47A98" w:rsidRDefault="00D47A98">
      <w:pPr>
        <w:pStyle w:val="Pieddepage"/>
        <w:spacing w:line="240" w:lineRule="exact"/>
        <w:rPr>
          <w:rFonts w:ascii="Tahoma" w:hAnsi="Tahoma" w:cs="Arial"/>
          <w:b/>
          <w:bCs/>
          <w:shd w:val="clear" w:color="auto" w:fill="FFFFFF"/>
        </w:rPr>
      </w:pPr>
    </w:p>
    <w:p w:rsidR="00D47A98" w:rsidRDefault="00C504E0">
      <w:pPr>
        <w:pStyle w:val="Pieddepage"/>
        <w:spacing w:line="240" w:lineRule="exact"/>
        <w:rPr>
          <w:rFonts w:ascii="Tahoma" w:hAnsi="Tahoma" w:cs="Arial"/>
          <w:shd w:val="clear" w:color="auto" w:fill="FFFFFF"/>
        </w:rPr>
      </w:pPr>
      <w:r>
        <w:rPr>
          <w:rFonts w:ascii="Tahoma" w:hAnsi="Tahoma" w:cs="Arial"/>
          <w:shd w:val="clear" w:color="auto" w:fill="FFFFFF"/>
        </w:rPr>
        <w:t>(</w:t>
      </w:r>
      <w:proofErr w:type="gramStart"/>
      <w:r>
        <w:rPr>
          <w:rFonts w:ascii="Tahoma" w:hAnsi="Tahoma" w:cs="Arial"/>
          <w:shd w:val="clear" w:color="auto" w:fill="FFFFFF"/>
        </w:rPr>
        <w:t>signature</w:t>
      </w:r>
      <w:proofErr w:type="gramEnd"/>
      <w:r w:rsidR="003240C5">
        <w:rPr>
          <w:rFonts w:ascii="Tahoma" w:hAnsi="Tahoma" w:cs="Arial"/>
          <w:shd w:val="clear" w:color="auto" w:fill="FFFFFF"/>
        </w:rPr>
        <w:t xml:space="preserve"> Nom et Prénom, fonction</w:t>
      </w:r>
      <w:r>
        <w:rPr>
          <w:rFonts w:ascii="Tahoma" w:hAnsi="Tahoma" w:cs="Arial"/>
          <w:shd w:val="clear" w:color="auto" w:fill="FFFFFF"/>
        </w:rPr>
        <w:t xml:space="preserve"> et tampon)</w:t>
      </w: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C504E0">
      <w:pPr>
        <w:pStyle w:val="Pieddepage"/>
        <w:spacing w:line="240" w:lineRule="exact"/>
        <w:rPr>
          <w:rFonts w:ascii="Tahoma" w:hAnsi="Tahoma" w:cs="Arial"/>
          <w:b/>
          <w:bCs/>
          <w:shd w:val="clear" w:color="auto" w:fill="FFFFFF"/>
        </w:rPr>
      </w:pPr>
      <w:r>
        <w:rPr>
          <w:rFonts w:ascii="Tahoma" w:hAnsi="Tahoma" w:cs="Arial"/>
          <w:b/>
          <w:bCs/>
          <w:shd w:val="clear" w:color="auto" w:fill="FFFFFF"/>
        </w:rPr>
        <w:t>Fait à ________________________, le __/__/____</w:t>
      </w: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D47A98">
      <w:pPr>
        <w:pStyle w:val="Pieddepage"/>
        <w:spacing w:line="240" w:lineRule="exact"/>
        <w:rPr>
          <w:rFonts w:ascii="Tahoma" w:hAnsi="Tahoma" w:cs="Arial"/>
          <w:b/>
          <w:bCs/>
          <w:shd w:val="clear" w:color="auto" w:fill="FFFFFF"/>
        </w:rPr>
      </w:pPr>
    </w:p>
    <w:p w:rsidR="00D47A98" w:rsidRDefault="00C504E0">
      <w:pPr>
        <w:pStyle w:val="Pieddepage"/>
        <w:spacing w:line="240" w:lineRule="exact"/>
        <w:rPr>
          <w:rFonts w:ascii="Tahoma" w:hAnsi="Tahoma" w:cs="Arial"/>
          <w:b/>
          <w:bCs/>
          <w:shd w:val="clear" w:color="auto" w:fill="FFFFFF"/>
        </w:rPr>
      </w:pPr>
      <w:r>
        <w:rPr>
          <w:rFonts w:ascii="Tahoma" w:hAnsi="Tahoma" w:cs="Arial"/>
          <w:b/>
          <w:bCs/>
          <w:shd w:val="clear" w:color="auto" w:fill="FFFFFF"/>
        </w:rPr>
        <w:t>Le porteur transparent</w:t>
      </w:r>
    </w:p>
    <w:p w:rsidR="00D47A98" w:rsidRDefault="00D47A98">
      <w:pPr>
        <w:pStyle w:val="Pieddepage"/>
        <w:spacing w:line="240" w:lineRule="exact"/>
        <w:rPr>
          <w:rFonts w:ascii="Tahoma" w:hAnsi="Tahoma" w:cs="Arial"/>
          <w:b/>
          <w:bCs/>
          <w:shd w:val="clear" w:color="auto" w:fill="FFFFFF"/>
        </w:rPr>
      </w:pPr>
    </w:p>
    <w:p w:rsidR="00D47A98" w:rsidRDefault="00C504E0">
      <w:pPr>
        <w:pStyle w:val="Pieddepage"/>
        <w:spacing w:line="240" w:lineRule="exact"/>
        <w:rPr>
          <w:rFonts w:ascii="Tahoma" w:hAnsi="Tahoma" w:cs="Arial"/>
          <w:shd w:val="clear" w:color="auto" w:fill="FFFFFF"/>
        </w:rPr>
      </w:pPr>
      <w:r>
        <w:rPr>
          <w:rFonts w:ascii="Tahoma" w:hAnsi="Tahoma" w:cs="Arial"/>
          <w:shd w:val="clear" w:color="auto" w:fill="FFFFFF"/>
        </w:rPr>
        <w:t>(</w:t>
      </w:r>
      <w:proofErr w:type="gramStart"/>
      <w:r>
        <w:rPr>
          <w:rFonts w:ascii="Tahoma" w:hAnsi="Tahoma" w:cs="Arial"/>
          <w:shd w:val="clear" w:color="auto" w:fill="FFFFFF"/>
        </w:rPr>
        <w:t>signature</w:t>
      </w:r>
      <w:proofErr w:type="gramEnd"/>
      <w:r w:rsidR="003240C5">
        <w:rPr>
          <w:rFonts w:ascii="Tahoma" w:hAnsi="Tahoma" w:cs="Arial"/>
          <w:shd w:val="clear" w:color="auto" w:fill="FFFFFF"/>
        </w:rPr>
        <w:t xml:space="preserve"> Nom et Prénom, fonction</w:t>
      </w:r>
      <w:r>
        <w:rPr>
          <w:rFonts w:ascii="Tahoma" w:hAnsi="Tahoma" w:cs="Arial"/>
          <w:shd w:val="clear" w:color="auto" w:fill="FFFFFF"/>
        </w:rPr>
        <w:t xml:space="preserve"> et tampon)</w:t>
      </w:r>
    </w:p>
    <w:p w:rsidR="00D47A98" w:rsidRDefault="00C504E0">
      <w:pPr>
        <w:pStyle w:val="Pieddepage"/>
        <w:spacing w:line="240" w:lineRule="exact"/>
        <w:rPr>
          <w:shd w:val="clear" w:color="auto" w:fill="FFFF00"/>
        </w:rPr>
      </w:pPr>
      <w:r>
        <w:br w:type="page"/>
      </w:r>
    </w:p>
    <w:p w:rsidR="00D47A98" w:rsidRDefault="00D47A98">
      <w:pPr>
        <w:spacing w:after="0"/>
        <w:jc w:val="both"/>
        <w:rPr>
          <w:shd w:val="clear" w:color="auto" w:fill="FFFF00"/>
        </w:rPr>
      </w:pPr>
    </w:p>
    <w:p w:rsidR="00D47A98" w:rsidRDefault="00C504E0">
      <w:pPr>
        <w:spacing w:after="0" w:line="240" w:lineRule="exact"/>
        <w:jc w:val="center"/>
      </w:pPr>
      <w:r>
        <w:rPr>
          <w:rFonts w:ascii="Tahoma" w:hAnsi="Tahoma" w:cs="Arial"/>
          <w:b/>
          <w:color w:val="000000"/>
          <w:u w:val="single"/>
          <w:shd w:val="clear" w:color="auto" w:fill="FFFFFF"/>
        </w:rPr>
        <w:t>ANNEXE TECHNIQUE ET FINANCIERE</w:t>
      </w:r>
    </w:p>
    <w:p w:rsidR="00D47A98" w:rsidRDefault="00C504E0">
      <w:pPr>
        <w:spacing w:after="0" w:line="240" w:lineRule="exact"/>
        <w:jc w:val="center"/>
      </w:pPr>
      <w:r>
        <w:rPr>
          <w:rFonts w:ascii="Tahoma" w:hAnsi="Tahoma" w:cs="Arial"/>
          <w:b/>
          <w:color w:val="000000"/>
          <w:u w:val="single"/>
          <w:shd w:val="clear" w:color="auto" w:fill="FFFFFF"/>
        </w:rPr>
        <w:t>Description générique de l'action collective</w:t>
      </w:r>
    </w:p>
    <w:p w:rsidR="00D47A98" w:rsidRDefault="00D47A98">
      <w:pPr>
        <w:spacing w:after="0" w:line="240" w:lineRule="exact"/>
        <w:jc w:val="center"/>
        <w:rPr>
          <w:rFonts w:ascii="Tahoma" w:hAnsi="Tahoma" w:cs="Arial"/>
          <w:b/>
          <w:color w:val="000000"/>
          <w:u w:val="single"/>
          <w:shd w:val="clear" w:color="auto" w:fill="FFFFFF"/>
        </w:rPr>
      </w:pPr>
    </w:p>
    <w:tbl>
      <w:tblPr>
        <w:tblW w:w="9638"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9638"/>
      </w:tblGrid>
      <w:tr w:rsidR="00D47A98">
        <w:tc>
          <w:tcPr>
            <w:tcW w:w="9638" w:type="dxa"/>
            <w:tcBorders>
              <w:top w:val="single" w:sz="2" w:space="0" w:color="000001"/>
              <w:left w:val="single" w:sz="2" w:space="0" w:color="000001"/>
              <w:bottom w:val="single" w:sz="2" w:space="0" w:color="000001"/>
              <w:right w:val="single" w:sz="2" w:space="0" w:color="000001"/>
            </w:tcBorders>
            <w:shd w:val="clear" w:color="auto" w:fill="DDDDDD"/>
            <w:tcMar>
              <w:left w:w="51" w:type="dxa"/>
            </w:tcMar>
          </w:tcPr>
          <w:p w:rsidR="00D47A98" w:rsidRDefault="00C504E0">
            <w:pPr>
              <w:pStyle w:val="normalformulaire"/>
              <w:jc w:val="center"/>
              <w:rPr>
                <w:sz w:val="18"/>
                <w:szCs w:val="18"/>
              </w:rPr>
            </w:pPr>
            <w:r>
              <w:rPr>
                <w:sz w:val="18"/>
                <w:szCs w:val="18"/>
              </w:rPr>
              <w:t>CADRE RÉSERVÉ À L’ADMINISTRATION</w:t>
            </w:r>
          </w:p>
          <w:p w:rsidR="00D47A98" w:rsidRDefault="00C504E0">
            <w:pPr>
              <w:pStyle w:val="normalformulaire"/>
              <w:spacing w:after="0" w:line="240" w:lineRule="exact"/>
              <w:rPr>
                <w:rFonts w:cs="Arial"/>
                <w:sz w:val="18"/>
                <w:szCs w:val="18"/>
                <w:u w:val="single"/>
                <w:shd w:val="clear" w:color="auto" w:fill="DDDDDD"/>
              </w:rPr>
            </w:pPr>
            <w:r>
              <w:rPr>
                <w:rFonts w:cs="Arial"/>
                <w:sz w:val="18"/>
                <w:szCs w:val="18"/>
                <w:u w:val="single"/>
                <w:shd w:val="clear" w:color="auto" w:fill="DDDDDD"/>
              </w:rPr>
              <w:t>N° de dossier ORISIS: |__|__|__|__|__|__|__|__|__|__|__|__|__|__|__|</w:t>
            </w:r>
          </w:p>
        </w:tc>
      </w:tr>
    </w:tbl>
    <w:p w:rsidR="00D47A98" w:rsidRDefault="00D47A98">
      <w:pPr>
        <w:pStyle w:val="normalformulaire"/>
        <w:jc w:val="center"/>
        <w:rPr>
          <w:sz w:val="22"/>
        </w:rPr>
      </w:pPr>
    </w:p>
    <w:p w:rsidR="00D47A98" w:rsidRDefault="00C504E0">
      <w:pPr>
        <w:spacing w:after="0"/>
        <w:jc w:val="both"/>
        <w:rPr>
          <w:rFonts w:ascii="Tahoma" w:eastAsia="Times New Roman" w:hAnsi="Tahoma" w:cs="Arial"/>
          <w:color w:val="000000"/>
          <w:shd w:val="clear" w:color="auto" w:fill="FFFFFF"/>
          <w:lang w:eastAsia="zh-CN"/>
        </w:rPr>
      </w:pPr>
      <w:r>
        <w:rPr>
          <w:rFonts w:ascii="Tahoma" w:eastAsia="Times New Roman" w:hAnsi="Tahoma" w:cs="Arial"/>
          <w:b/>
          <w:bCs/>
          <w:color w:val="000000"/>
          <w:shd w:val="clear" w:color="auto" w:fill="FFFFFF"/>
          <w:lang w:eastAsia="zh-CN"/>
        </w:rPr>
        <w:t>Nature et descriptif détaillés des objectifs de l'action collective</w:t>
      </w:r>
      <w:r>
        <w:rPr>
          <w:rFonts w:ascii="Tahoma" w:eastAsia="Times New Roman" w:hAnsi="Tahoma" w:cs="Arial"/>
          <w:color w:val="000000"/>
          <w:shd w:val="clear" w:color="auto" w:fill="FFFFFF"/>
          <w:lang w:eastAsia="zh-CN"/>
        </w:rPr>
        <w:t> (contexte, périmètre géographique, objectifs, type d’action, thèmes, nombre de bénéficiaires prévus, nombre de jours...) :</w:t>
      </w:r>
    </w:p>
    <w:p w:rsidR="00D47A98" w:rsidRDefault="00C504E0">
      <w:pPr>
        <w:pStyle w:val="normalformulaire"/>
        <w:spacing w:after="0"/>
        <w:jc w:val="both"/>
      </w:pPr>
      <w:r>
        <w:rPr>
          <w:rFonts w:eastAsia="Times New Roman" w:cs="Arial"/>
          <w:sz w:val="22"/>
          <w:shd w:val="clear" w:color="auto" w:fill="FFFFFF"/>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A98" w:rsidRDefault="00D47A98">
      <w:pPr>
        <w:pStyle w:val="normalformulaire"/>
        <w:spacing w:after="0"/>
        <w:jc w:val="both"/>
        <w:rPr>
          <w:rFonts w:eastAsia="Times New Roman" w:cs="Arial"/>
          <w:sz w:val="22"/>
          <w:u w:val="single"/>
          <w:shd w:val="clear" w:color="auto" w:fill="FFFFFF"/>
          <w:lang w:eastAsia="zh-CN"/>
        </w:rPr>
      </w:pPr>
    </w:p>
    <w:p w:rsidR="00D47A98" w:rsidRDefault="00C504E0">
      <w:pPr>
        <w:spacing w:after="0"/>
        <w:jc w:val="both"/>
        <w:rPr>
          <w:rFonts w:ascii="Tahoma" w:eastAsia="Times New Roman" w:hAnsi="Tahoma" w:cs="Arial"/>
          <w:color w:val="000000"/>
          <w:shd w:val="clear" w:color="auto" w:fill="FFFFFF"/>
          <w:lang w:eastAsia="zh-CN"/>
        </w:rPr>
      </w:pPr>
      <w:r>
        <w:rPr>
          <w:rFonts w:ascii="Tahoma" w:eastAsia="Times New Roman" w:hAnsi="Tahoma" w:cs="Arial"/>
          <w:b/>
          <w:bCs/>
          <w:color w:val="000000"/>
          <w:shd w:val="clear" w:color="auto" w:fill="FFFFFF"/>
          <w:lang w:eastAsia="zh-CN"/>
        </w:rPr>
        <w:t xml:space="preserve">Descriptif détaillé des </w:t>
      </w:r>
      <w:proofErr w:type="spellStart"/>
      <w:r>
        <w:rPr>
          <w:rFonts w:ascii="Tahoma" w:eastAsia="Times New Roman" w:hAnsi="Tahoma" w:cs="Arial"/>
          <w:b/>
          <w:bCs/>
          <w:color w:val="000000"/>
          <w:shd w:val="clear" w:color="auto" w:fill="FFFFFF"/>
          <w:lang w:eastAsia="zh-CN"/>
        </w:rPr>
        <w:t>sous-actions</w:t>
      </w:r>
      <w:proofErr w:type="spellEnd"/>
      <w:r>
        <w:rPr>
          <w:rFonts w:ascii="Tahoma" w:eastAsia="Times New Roman" w:hAnsi="Tahoma" w:cs="Arial"/>
          <w:b/>
          <w:bCs/>
          <w:color w:val="000000"/>
          <w:shd w:val="clear" w:color="auto" w:fill="FFFFFF"/>
          <w:lang w:eastAsia="zh-CN"/>
        </w:rPr>
        <w:t xml:space="preserve"> </w:t>
      </w:r>
      <w:r>
        <w:rPr>
          <w:rFonts w:ascii="Tahoma" w:eastAsia="Times New Roman" w:hAnsi="Tahoma" w:cs="Arial"/>
          <w:color w:val="000000"/>
          <w:shd w:val="clear" w:color="auto" w:fill="FFFFFF"/>
          <w:lang w:eastAsia="zh-CN"/>
        </w:rPr>
        <w:t xml:space="preserve">: contenu, livrables attendus, indicateurs </w:t>
      </w:r>
    </w:p>
    <w:p w:rsidR="00D47A98" w:rsidRDefault="00C504E0">
      <w:pPr>
        <w:pStyle w:val="normalformulaire"/>
        <w:spacing w:after="0"/>
        <w:jc w:val="both"/>
      </w:pPr>
      <w:r>
        <w:rPr>
          <w:rFonts w:eastAsia="Times New Roman" w:cs="Arial"/>
          <w:sz w:val="22"/>
          <w:shd w:val="clear" w:color="auto" w:fill="FFFFFF"/>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A98" w:rsidRDefault="00D47A98">
      <w:pPr>
        <w:pStyle w:val="normalformulaire"/>
        <w:spacing w:after="0"/>
        <w:jc w:val="both"/>
        <w:rPr>
          <w:rFonts w:eastAsia="Times New Roman" w:cs="Arial"/>
          <w:sz w:val="22"/>
          <w:u w:val="single"/>
          <w:shd w:val="clear" w:color="auto" w:fill="FFFFFF"/>
          <w:lang w:eastAsia="zh-CN"/>
        </w:rPr>
      </w:pPr>
    </w:p>
    <w:p w:rsidR="00D47A98" w:rsidRDefault="00C504E0">
      <w:pPr>
        <w:pStyle w:val="titreformulaire"/>
        <w:spacing w:before="0" w:after="0"/>
        <w:jc w:val="both"/>
      </w:pPr>
      <w:r>
        <w:rPr>
          <w:rFonts w:eastAsia="Times New Roman" w:cs="Arial"/>
          <w:bCs/>
          <w:color w:val="000000"/>
          <w:sz w:val="22"/>
          <w:szCs w:val="22"/>
          <w:shd w:val="clear" w:color="auto" w:fill="FFFFFF"/>
          <w:lang w:eastAsia="zh-CN"/>
        </w:rPr>
        <w:t>Dépenses prévisionnelles de l'action collective</w:t>
      </w:r>
    </w:p>
    <w:p w:rsidR="00D47A98" w:rsidRDefault="00D47A98">
      <w:pPr>
        <w:pStyle w:val="titreformulaire"/>
        <w:spacing w:before="0" w:after="0"/>
        <w:jc w:val="both"/>
        <w:rPr>
          <w:rFonts w:eastAsia="Times New Roman" w:cs="Arial"/>
          <w:b w:val="0"/>
          <w:color w:val="000000"/>
          <w:sz w:val="22"/>
          <w:szCs w:val="22"/>
          <w:shd w:val="clear" w:color="auto" w:fill="FFFFFF"/>
          <w:lang w:eastAsia="zh-CN"/>
        </w:rPr>
      </w:pPr>
    </w:p>
    <w:tbl>
      <w:tblPr>
        <w:tblW w:w="9525" w:type="dxa"/>
        <w:tblInd w:w="137" w:type="dxa"/>
        <w:tblBorders>
          <w:top w:val="single" w:sz="4" w:space="0" w:color="000001"/>
          <w:left w:val="single" w:sz="4" w:space="0" w:color="000001"/>
          <w:bottom w:val="single" w:sz="4" w:space="0" w:color="000001"/>
          <w:insideH w:val="single" w:sz="4" w:space="0" w:color="000001"/>
        </w:tblBorders>
        <w:tblCellMar>
          <w:left w:w="50" w:type="dxa"/>
          <w:right w:w="70" w:type="dxa"/>
        </w:tblCellMar>
        <w:tblLook w:val="04A0" w:firstRow="1" w:lastRow="0" w:firstColumn="1" w:lastColumn="0" w:noHBand="0" w:noVBand="1"/>
      </w:tblPr>
      <w:tblGrid>
        <w:gridCol w:w="5725"/>
        <w:gridCol w:w="3800"/>
      </w:tblGrid>
      <w:tr w:rsidR="00D47A98">
        <w:tc>
          <w:tcPr>
            <w:tcW w:w="5724" w:type="dxa"/>
            <w:tcBorders>
              <w:top w:val="single" w:sz="4" w:space="0" w:color="000001"/>
              <w:left w:val="single" w:sz="4" w:space="0" w:color="000001"/>
              <w:bottom w:val="single" w:sz="4" w:space="0" w:color="000001"/>
            </w:tcBorders>
            <w:shd w:val="clear" w:color="auto" w:fill="auto"/>
            <w:tcMar>
              <w:left w:w="50" w:type="dxa"/>
            </w:tcMar>
          </w:tcPr>
          <w:p w:rsidR="00D47A98" w:rsidRDefault="00C504E0">
            <w:pPr>
              <w:pStyle w:val="Contenudetableau"/>
              <w:snapToGrid w:val="0"/>
              <w:spacing w:after="0"/>
              <w:jc w:val="both"/>
            </w:pPr>
            <w:r>
              <w:rPr>
                <w:rFonts w:ascii="Tahoma" w:eastAsia="Times New Roman" w:hAnsi="Tahoma" w:cs="Arial"/>
                <w:b/>
                <w:bCs/>
                <w:color w:val="000000"/>
                <w:shd w:val="clear" w:color="auto" w:fill="FFFFFF"/>
                <w:lang w:eastAsia="zh-CN"/>
              </w:rPr>
              <w:t>Dépenses totales de l'action collective</w:t>
            </w:r>
          </w:p>
        </w:tc>
        <w:tc>
          <w:tcPr>
            <w:tcW w:w="3800" w:type="dxa"/>
            <w:tcBorders>
              <w:top w:val="single" w:sz="4" w:space="0" w:color="000001"/>
              <w:left w:val="single" w:sz="4" w:space="0" w:color="000001"/>
              <w:bottom w:val="single" w:sz="4" w:space="0" w:color="000001"/>
              <w:right w:val="single" w:sz="4" w:space="0" w:color="000001"/>
            </w:tcBorders>
            <w:shd w:val="clear" w:color="auto" w:fill="auto"/>
            <w:tcMar>
              <w:left w:w="50" w:type="dxa"/>
            </w:tcMar>
          </w:tcPr>
          <w:p w:rsidR="00D47A98" w:rsidRDefault="00C504E0">
            <w:pPr>
              <w:pStyle w:val="Contenudetableau"/>
              <w:spacing w:after="0"/>
              <w:jc w:val="center"/>
              <w:rPr>
                <w:rFonts w:ascii="Tahoma" w:hAnsi="Tahoma"/>
                <w:b/>
                <w:bCs/>
                <w:shd w:val="clear" w:color="auto" w:fill="FFFFFF"/>
              </w:rPr>
            </w:pPr>
            <w:r>
              <w:rPr>
                <w:rFonts w:ascii="Tahoma" w:hAnsi="Tahoma"/>
                <w:b/>
                <w:bCs/>
                <w:shd w:val="clear" w:color="auto" w:fill="FFFFFF"/>
              </w:rPr>
              <w:t>Montant prévisionnel en €</w:t>
            </w:r>
          </w:p>
          <w:p w:rsidR="00D47A98" w:rsidRDefault="00D47A98">
            <w:pPr>
              <w:pStyle w:val="Contenudetableau"/>
              <w:spacing w:after="0"/>
              <w:jc w:val="center"/>
              <w:rPr>
                <w:rFonts w:ascii="Tahoma" w:eastAsia="Times New Roman" w:hAnsi="Tahoma" w:cs="Arial"/>
                <w:i/>
                <w:iCs/>
                <w:color w:val="000000"/>
                <w:shd w:val="clear" w:color="auto" w:fill="FFFFFF"/>
                <w:lang w:eastAsia="zh-CN"/>
              </w:rPr>
            </w:pPr>
          </w:p>
          <w:p w:rsidR="00D47A98" w:rsidRDefault="00D47A98">
            <w:pPr>
              <w:pStyle w:val="Contenudetableau"/>
              <w:spacing w:after="0"/>
              <w:jc w:val="center"/>
              <w:rPr>
                <w:rFonts w:ascii="Tahoma" w:eastAsia="Times New Roman" w:hAnsi="Tahoma" w:cs="Arial"/>
                <w:i/>
                <w:iCs/>
                <w:color w:val="000000"/>
                <w:shd w:val="clear" w:color="auto" w:fill="FFFFFF"/>
                <w:lang w:eastAsia="zh-CN"/>
              </w:rPr>
            </w:pPr>
          </w:p>
        </w:tc>
      </w:tr>
      <w:tr w:rsidR="00D47A98">
        <w:tc>
          <w:tcPr>
            <w:tcW w:w="5724" w:type="dxa"/>
            <w:tcBorders>
              <w:top w:val="single" w:sz="4" w:space="0" w:color="000001"/>
              <w:left w:val="single" w:sz="4" w:space="0" w:color="000001"/>
              <w:bottom w:val="single" w:sz="4" w:space="0" w:color="000001"/>
            </w:tcBorders>
            <w:shd w:val="clear" w:color="auto" w:fill="auto"/>
            <w:tcMar>
              <w:left w:w="50" w:type="dxa"/>
            </w:tcMar>
          </w:tcPr>
          <w:p w:rsidR="00D47A98" w:rsidRDefault="00C504E0">
            <w:pPr>
              <w:pStyle w:val="normalformulaire"/>
              <w:snapToGrid w:val="0"/>
              <w:spacing w:after="0"/>
            </w:pPr>
            <w:r>
              <w:rPr>
                <w:sz w:val="22"/>
              </w:rPr>
              <w:t>Dépenses sur facture liées à l'action</w:t>
            </w:r>
          </w:p>
          <w:p w:rsidR="00D47A98" w:rsidRDefault="00D47A98">
            <w:pPr>
              <w:pStyle w:val="normalformulaire"/>
              <w:snapToGrid w:val="0"/>
              <w:spacing w:after="0"/>
              <w:rPr>
                <w:sz w:val="22"/>
              </w:rPr>
            </w:pPr>
          </w:p>
        </w:tc>
        <w:tc>
          <w:tcPr>
            <w:tcW w:w="3800" w:type="dxa"/>
            <w:tcBorders>
              <w:top w:val="single" w:sz="4" w:space="0" w:color="000001"/>
              <w:left w:val="single" w:sz="4" w:space="0" w:color="000001"/>
              <w:bottom w:val="single" w:sz="4" w:space="0" w:color="000001"/>
              <w:right w:val="single" w:sz="4" w:space="0" w:color="000001"/>
            </w:tcBorders>
            <w:shd w:val="clear" w:color="auto" w:fill="auto"/>
            <w:tcMar>
              <w:left w:w="50" w:type="dxa"/>
            </w:tcMar>
          </w:tcPr>
          <w:p w:rsidR="00D47A98" w:rsidRDefault="00C504E0">
            <w:pPr>
              <w:pStyle w:val="normalformulaire"/>
              <w:snapToGrid w:val="0"/>
              <w:spacing w:after="0"/>
              <w:jc w:val="center"/>
              <w:rPr>
                <w:rFonts w:eastAsia="Times New Roman" w:cs="Arial"/>
                <w:sz w:val="22"/>
                <w:shd w:val="clear" w:color="auto" w:fill="FFFFFF"/>
                <w:lang w:eastAsia="zh-CN"/>
              </w:rPr>
            </w:pPr>
            <w:r>
              <w:rPr>
                <w:rFonts w:eastAsia="Times New Roman" w:cs="Arial"/>
                <w:sz w:val="22"/>
                <w:shd w:val="clear" w:color="auto" w:fill="FFFFFF"/>
                <w:lang w:eastAsia="zh-CN"/>
              </w:rPr>
              <w:t>|__|__|__| |__|__|__|, |__|__|</w:t>
            </w:r>
          </w:p>
        </w:tc>
      </w:tr>
      <w:tr w:rsidR="00D47A98">
        <w:tc>
          <w:tcPr>
            <w:tcW w:w="5724" w:type="dxa"/>
            <w:tcBorders>
              <w:top w:val="single" w:sz="4" w:space="0" w:color="000001"/>
              <w:left w:val="single" w:sz="4" w:space="0" w:color="000001"/>
              <w:bottom w:val="single" w:sz="4" w:space="0" w:color="000001"/>
            </w:tcBorders>
            <w:shd w:val="clear" w:color="auto" w:fill="auto"/>
            <w:tcMar>
              <w:left w:w="50" w:type="dxa"/>
            </w:tcMar>
          </w:tcPr>
          <w:p w:rsidR="00D47A98" w:rsidRDefault="00C504E0">
            <w:pPr>
              <w:pStyle w:val="normalformulaire"/>
              <w:snapToGrid w:val="0"/>
              <w:spacing w:after="0"/>
            </w:pPr>
            <w:r>
              <w:rPr>
                <w:sz w:val="22"/>
              </w:rPr>
              <w:t xml:space="preserve">Frais salariaux liés à l'action collective </w:t>
            </w:r>
          </w:p>
          <w:p w:rsidR="00D47A98" w:rsidRDefault="00C504E0">
            <w:pPr>
              <w:pStyle w:val="normalformulaire"/>
              <w:snapToGrid w:val="0"/>
              <w:spacing w:after="0"/>
            </w:pPr>
            <w:r>
              <w:rPr>
                <w:sz w:val="22"/>
              </w:rPr>
              <w:t>(</w:t>
            </w:r>
            <w:proofErr w:type="gramStart"/>
            <w:r>
              <w:rPr>
                <w:sz w:val="22"/>
              </w:rPr>
              <w:t>voir</w:t>
            </w:r>
            <w:proofErr w:type="gramEnd"/>
            <w:r>
              <w:rPr>
                <w:sz w:val="22"/>
              </w:rPr>
              <w:t xml:space="preserve"> méthode de calcul détaillée pour la fiche action)</w:t>
            </w:r>
          </w:p>
          <w:p w:rsidR="00D47A98" w:rsidRDefault="00D47A98">
            <w:pPr>
              <w:pStyle w:val="normalformulaire"/>
              <w:snapToGrid w:val="0"/>
              <w:spacing w:after="0"/>
              <w:rPr>
                <w:sz w:val="22"/>
              </w:rPr>
            </w:pPr>
          </w:p>
        </w:tc>
        <w:tc>
          <w:tcPr>
            <w:tcW w:w="3800" w:type="dxa"/>
            <w:tcBorders>
              <w:top w:val="single" w:sz="4" w:space="0" w:color="000001"/>
              <w:left w:val="single" w:sz="4" w:space="0" w:color="000001"/>
              <w:bottom w:val="single" w:sz="4" w:space="0" w:color="000001"/>
              <w:right w:val="single" w:sz="4" w:space="0" w:color="000001"/>
            </w:tcBorders>
            <w:shd w:val="clear" w:color="auto" w:fill="auto"/>
            <w:tcMar>
              <w:left w:w="50" w:type="dxa"/>
            </w:tcMar>
          </w:tcPr>
          <w:p w:rsidR="00D47A98" w:rsidRDefault="00C504E0">
            <w:pPr>
              <w:pStyle w:val="normalformulaire"/>
              <w:snapToGrid w:val="0"/>
              <w:spacing w:after="0"/>
              <w:jc w:val="center"/>
              <w:rPr>
                <w:rFonts w:eastAsia="Times New Roman" w:cs="Arial"/>
                <w:sz w:val="22"/>
                <w:shd w:val="clear" w:color="auto" w:fill="FFFFFF"/>
                <w:lang w:eastAsia="zh-CN"/>
              </w:rPr>
            </w:pPr>
            <w:r>
              <w:rPr>
                <w:rFonts w:eastAsia="Times New Roman" w:cs="Arial"/>
                <w:sz w:val="22"/>
                <w:shd w:val="clear" w:color="auto" w:fill="FFFFFF"/>
                <w:lang w:eastAsia="zh-CN"/>
              </w:rPr>
              <w:t>|__|__|__| |__|__|__|, |__|__|</w:t>
            </w:r>
          </w:p>
        </w:tc>
      </w:tr>
      <w:tr w:rsidR="00D47A98">
        <w:tc>
          <w:tcPr>
            <w:tcW w:w="5724" w:type="dxa"/>
            <w:tcBorders>
              <w:top w:val="single" w:sz="4" w:space="0" w:color="000001"/>
              <w:left w:val="single" w:sz="4" w:space="0" w:color="000001"/>
              <w:bottom w:val="single" w:sz="4" w:space="0" w:color="000001"/>
            </w:tcBorders>
            <w:shd w:val="clear" w:color="auto" w:fill="auto"/>
            <w:tcMar>
              <w:left w:w="50" w:type="dxa"/>
            </w:tcMar>
          </w:tcPr>
          <w:p w:rsidR="00D47A98" w:rsidRDefault="00C504E0">
            <w:pPr>
              <w:pStyle w:val="normalformulaire"/>
              <w:snapToGrid w:val="0"/>
              <w:spacing w:after="0"/>
            </w:pPr>
            <w:r>
              <w:rPr>
                <w:sz w:val="22"/>
              </w:rPr>
              <w:t>Frais de déplacement, d'hébergement et de restauration</w:t>
            </w:r>
          </w:p>
          <w:p w:rsidR="00D47A98" w:rsidRDefault="00D47A98">
            <w:pPr>
              <w:pStyle w:val="normalformulaire"/>
              <w:snapToGrid w:val="0"/>
              <w:spacing w:after="0"/>
              <w:rPr>
                <w:sz w:val="22"/>
              </w:rPr>
            </w:pPr>
          </w:p>
        </w:tc>
        <w:tc>
          <w:tcPr>
            <w:tcW w:w="3800" w:type="dxa"/>
            <w:tcBorders>
              <w:top w:val="single" w:sz="4" w:space="0" w:color="000001"/>
              <w:left w:val="single" w:sz="4" w:space="0" w:color="000001"/>
              <w:bottom w:val="single" w:sz="4" w:space="0" w:color="000001"/>
              <w:right w:val="single" w:sz="4" w:space="0" w:color="000001"/>
            </w:tcBorders>
            <w:shd w:val="clear" w:color="auto" w:fill="auto"/>
            <w:tcMar>
              <w:left w:w="50" w:type="dxa"/>
            </w:tcMar>
          </w:tcPr>
          <w:p w:rsidR="00D47A98" w:rsidRDefault="00D47A98">
            <w:pPr>
              <w:pStyle w:val="normalformulaire"/>
              <w:snapToGrid w:val="0"/>
              <w:spacing w:after="0"/>
              <w:jc w:val="center"/>
              <w:rPr>
                <w:rFonts w:eastAsia="Times New Roman" w:cs="Arial"/>
                <w:sz w:val="22"/>
                <w:shd w:val="clear" w:color="auto" w:fill="FFFFFF"/>
                <w:lang w:eastAsia="zh-CN"/>
              </w:rPr>
            </w:pPr>
          </w:p>
          <w:p w:rsidR="00D47A98" w:rsidRDefault="00C504E0">
            <w:pPr>
              <w:pStyle w:val="normalformulaire"/>
              <w:snapToGrid w:val="0"/>
              <w:spacing w:after="0"/>
              <w:jc w:val="center"/>
              <w:rPr>
                <w:rFonts w:eastAsia="Times New Roman" w:cs="Arial"/>
                <w:sz w:val="22"/>
                <w:shd w:val="clear" w:color="auto" w:fill="FFFFFF"/>
                <w:lang w:eastAsia="zh-CN"/>
              </w:rPr>
            </w:pPr>
            <w:r>
              <w:rPr>
                <w:rFonts w:eastAsia="Times New Roman" w:cs="Arial"/>
                <w:sz w:val="22"/>
                <w:shd w:val="clear" w:color="auto" w:fill="FFFFFF"/>
                <w:lang w:eastAsia="zh-CN"/>
              </w:rPr>
              <w:t>|__|__|__| |__|__|__|, |__|__|</w:t>
            </w:r>
          </w:p>
        </w:tc>
      </w:tr>
      <w:tr w:rsidR="00D47A98">
        <w:tc>
          <w:tcPr>
            <w:tcW w:w="5724" w:type="dxa"/>
            <w:tcBorders>
              <w:top w:val="single" w:sz="4" w:space="0" w:color="000001"/>
              <w:left w:val="single" w:sz="4" w:space="0" w:color="000001"/>
              <w:bottom w:val="single" w:sz="4" w:space="0" w:color="000001"/>
            </w:tcBorders>
            <w:shd w:val="clear" w:color="auto" w:fill="auto"/>
            <w:tcMar>
              <w:left w:w="50" w:type="dxa"/>
            </w:tcMar>
          </w:tcPr>
          <w:p w:rsidR="00D47A98" w:rsidRDefault="00C504E0">
            <w:pPr>
              <w:pStyle w:val="normalformulaire"/>
              <w:snapToGrid w:val="0"/>
              <w:spacing w:after="0"/>
            </w:pPr>
            <w:r>
              <w:rPr>
                <w:sz w:val="22"/>
              </w:rPr>
              <w:t>Dépenses générales indirectes – forfait de 15 % appliqué au montant total de frais salariaux liés à l'action</w:t>
            </w:r>
          </w:p>
          <w:p w:rsidR="00D47A98" w:rsidRDefault="00D47A98">
            <w:pPr>
              <w:pStyle w:val="normalformulaire"/>
              <w:snapToGrid w:val="0"/>
              <w:spacing w:after="0"/>
              <w:rPr>
                <w:sz w:val="22"/>
              </w:rPr>
            </w:pPr>
          </w:p>
        </w:tc>
        <w:tc>
          <w:tcPr>
            <w:tcW w:w="3800" w:type="dxa"/>
            <w:tcBorders>
              <w:top w:val="single" w:sz="4" w:space="0" w:color="000001"/>
              <w:left w:val="single" w:sz="4" w:space="0" w:color="000001"/>
              <w:bottom w:val="single" w:sz="4" w:space="0" w:color="000001"/>
              <w:right w:val="single" w:sz="4" w:space="0" w:color="000001"/>
            </w:tcBorders>
            <w:shd w:val="clear" w:color="auto" w:fill="auto"/>
            <w:tcMar>
              <w:left w:w="50" w:type="dxa"/>
            </w:tcMar>
          </w:tcPr>
          <w:p w:rsidR="00D47A98" w:rsidRDefault="00D47A98">
            <w:pPr>
              <w:pStyle w:val="normalformulaire"/>
              <w:snapToGrid w:val="0"/>
              <w:spacing w:after="0"/>
              <w:jc w:val="center"/>
              <w:rPr>
                <w:rFonts w:eastAsia="Times New Roman" w:cs="Arial"/>
                <w:sz w:val="22"/>
                <w:shd w:val="clear" w:color="auto" w:fill="FFFFFF"/>
                <w:lang w:eastAsia="zh-CN"/>
              </w:rPr>
            </w:pPr>
          </w:p>
        </w:tc>
      </w:tr>
      <w:tr w:rsidR="00D47A98">
        <w:tc>
          <w:tcPr>
            <w:tcW w:w="5724" w:type="dxa"/>
            <w:tcBorders>
              <w:top w:val="single" w:sz="4" w:space="0" w:color="000001"/>
              <w:left w:val="single" w:sz="4" w:space="0" w:color="000001"/>
              <w:bottom w:val="single" w:sz="4" w:space="0" w:color="000001"/>
            </w:tcBorders>
            <w:shd w:val="clear" w:color="auto" w:fill="DDDDDD"/>
            <w:tcMar>
              <w:left w:w="50" w:type="dxa"/>
            </w:tcMar>
          </w:tcPr>
          <w:p w:rsidR="00D47A98" w:rsidRDefault="00D47A98">
            <w:pPr>
              <w:pStyle w:val="normalformulaire"/>
              <w:snapToGrid w:val="0"/>
              <w:spacing w:after="0"/>
              <w:jc w:val="both"/>
              <w:rPr>
                <w:rFonts w:eastAsia="Times New Roman" w:cs="Arial"/>
                <w:sz w:val="22"/>
                <w:shd w:val="clear" w:color="auto" w:fill="FFFFFF"/>
                <w:lang w:eastAsia="zh-CN"/>
              </w:rPr>
            </w:pPr>
          </w:p>
          <w:p w:rsidR="00D47A98" w:rsidRDefault="00C504E0">
            <w:pPr>
              <w:pStyle w:val="normalformulaire"/>
              <w:snapToGrid w:val="0"/>
              <w:spacing w:after="0"/>
              <w:jc w:val="both"/>
            </w:pPr>
            <w:r>
              <w:rPr>
                <w:rFonts w:eastAsia="Times New Roman" w:cs="Arial"/>
                <w:sz w:val="22"/>
                <w:shd w:val="clear" w:color="auto" w:fill="FFFFFF"/>
                <w:lang w:eastAsia="zh-CN"/>
              </w:rPr>
              <w:t>TOTAL</w:t>
            </w:r>
          </w:p>
          <w:p w:rsidR="00D47A98" w:rsidRDefault="00D47A98">
            <w:pPr>
              <w:pStyle w:val="normalformulaire"/>
              <w:snapToGrid w:val="0"/>
              <w:spacing w:after="0"/>
              <w:jc w:val="both"/>
              <w:rPr>
                <w:rFonts w:eastAsia="Times New Roman" w:cs="Arial"/>
                <w:sz w:val="22"/>
                <w:shd w:val="clear" w:color="auto" w:fill="FFFFFF"/>
                <w:lang w:eastAsia="zh-CN"/>
              </w:rPr>
            </w:pPr>
          </w:p>
        </w:tc>
        <w:tc>
          <w:tcPr>
            <w:tcW w:w="3800" w:type="dxa"/>
            <w:tcBorders>
              <w:top w:val="single" w:sz="4" w:space="0" w:color="000001"/>
              <w:left w:val="single" w:sz="4" w:space="0" w:color="000001"/>
              <w:bottom w:val="single" w:sz="4" w:space="0" w:color="000001"/>
              <w:right w:val="single" w:sz="4" w:space="0" w:color="000001"/>
            </w:tcBorders>
            <w:shd w:val="clear" w:color="auto" w:fill="auto"/>
            <w:tcMar>
              <w:left w:w="50" w:type="dxa"/>
            </w:tcMar>
          </w:tcPr>
          <w:p w:rsidR="00D47A98" w:rsidRDefault="00D47A98">
            <w:pPr>
              <w:pStyle w:val="normalformulaire"/>
              <w:snapToGrid w:val="0"/>
              <w:spacing w:after="0"/>
              <w:jc w:val="center"/>
              <w:rPr>
                <w:rFonts w:eastAsia="Times New Roman" w:cs="Arial"/>
                <w:sz w:val="22"/>
                <w:shd w:val="clear" w:color="auto" w:fill="FFFFFF"/>
                <w:lang w:eastAsia="zh-CN"/>
              </w:rPr>
            </w:pPr>
          </w:p>
          <w:p w:rsidR="00D47A98" w:rsidRDefault="00C504E0">
            <w:pPr>
              <w:pStyle w:val="normalformulaire"/>
              <w:snapToGrid w:val="0"/>
              <w:spacing w:after="0"/>
              <w:jc w:val="center"/>
            </w:pPr>
            <w:r>
              <w:rPr>
                <w:rFonts w:eastAsia="Times New Roman" w:cs="Arial"/>
                <w:sz w:val="22"/>
                <w:shd w:val="clear" w:color="auto" w:fill="FFFFFF"/>
                <w:lang w:eastAsia="zh-CN"/>
              </w:rPr>
              <w:t>|__|__|__| |__|__|__|, |__|__|</w:t>
            </w:r>
          </w:p>
        </w:tc>
      </w:tr>
    </w:tbl>
    <w:p w:rsidR="00D47A98" w:rsidRDefault="00D47A98">
      <w:pPr>
        <w:spacing w:after="0"/>
        <w:jc w:val="both"/>
      </w:pPr>
    </w:p>
    <w:sectPr w:rsidR="00D47A98">
      <w:headerReference w:type="default" r:id="rId8"/>
      <w:footerReference w:type="default" r:id="rId9"/>
      <w:pgSz w:w="11906" w:h="16838"/>
      <w:pgMar w:top="1258" w:right="1417" w:bottom="1417" w:left="1417"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25B" w:rsidRDefault="00C504E0">
      <w:pPr>
        <w:spacing w:after="0" w:line="240" w:lineRule="auto"/>
      </w:pPr>
      <w:r>
        <w:separator/>
      </w:r>
    </w:p>
  </w:endnote>
  <w:endnote w:type="continuationSeparator" w:id="0">
    <w:p w:rsidR="0039125B" w:rsidRDefault="00C5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um">
    <w:charset w:val="01"/>
    <w:family w:val="roman"/>
    <w:pitch w:val="default"/>
  </w:font>
  <w:font w:name="Times">
    <w:panose1 w:val="02020603050405020304"/>
    <w:charset w:val="01"/>
    <w:family w:val="roman"/>
    <w:pitch w:val="default"/>
  </w:font>
  <w:font w:name="Frutiger LT Std 45 Light">
    <w:altName w:val="Times New Roman"/>
    <w:charset w:val="01"/>
    <w:family w:val="roman"/>
    <w:pitch w:val="default"/>
  </w:font>
  <w:font w:name="starsymbol">
    <w:charset w:val="00"/>
    <w:family w:val="auto"/>
    <w:pitch w:val="default"/>
  </w:font>
  <w:font w:name="Helvetica Linotype">
    <w:altName w:val="Times New Roman"/>
    <w:charset w:val="01"/>
    <w:family w:val="roman"/>
    <w:pitch w:val="default"/>
  </w:font>
  <w:font w:name="CG Times (W1)">
    <w:charset w:val="01"/>
    <w:family w:val="roman"/>
    <w:pitch w:val="default"/>
  </w:font>
  <w:font w:name="Liberation Serif">
    <w:panose1 w:val="02020603050405020304"/>
    <w:charset w:val="00"/>
    <w:family w:val="roman"/>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CG Times (WN)">
    <w:charset w:val="01"/>
    <w:family w:val="roman"/>
    <w:pitch w:val="default"/>
  </w:font>
  <w:font w:name="Arial Unicode MS">
    <w:panose1 w:val="020B0604020202020204"/>
    <w:charset w:val="01"/>
    <w:family w:val="roman"/>
    <w:pitch w:val="default"/>
  </w:font>
  <w:font w:name="EUAlbertina">
    <w:altName w:val="EU Albertina"/>
    <w:charset w:val="01"/>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_DdeLink__306_1341295397" w:displacedByCustomXml="next"/>
  <w:sdt>
    <w:sdtPr>
      <w:id w:val="597289824"/>
      <w:docPartObj>
        <w:docPartGallery w:val="Page Numbers (Bottom of Page)"/>
        <w:docPartUnique/>
      </w:docPartObj>
    </w:sdtPr>
    <w:sdtEndPr/>
    <w:sdtContent>
      <w:p w:rsidR="00D47A98" w:rsidRDefault="00C504E0">
        <w:pPr>
          <w:pStyle w:val="Pieddepage"/>
          <w:jc w:val="right"/>
        </w:pPr>
        <w:r>
          <w:fldChar w:fldCharType="begin"/>
        </w:r>
        <w:r>
          <w:instrText>PAGE</w:instrText>
        </w:r>
        <w:r>
          <w:fldChar w:fldCharType="separate"/>
        </w:r>
        <w:r w:rsidR="0013688A">
          <w:rPr>
            <w:noProof/>
          </w:rPr>
          <w:t>8</w:t>
        </w:r>
        <w:r>
          <w:fldChar w:fldCharType="end"/>
        </w:r>
        <w:r>
          <w:t>/</w:t>
        </w:r>
        <w:bookmarkEnd w:id="2"/>
        <w:r>
          <w:fldChar w:fldCharType="begin"/>
        </w:r>
        <w:r>
          <w:instrText>NUMPAGES</w:instrText>
        </w:r>
        <w:r>
          <w:fldChar w:fldCharType="separate"/>
        </w:r>
        <w:r w:rsidR="0013688A">
          <w:rPr>
            <w:noProof/>
          </w:rPr>
          <w:t>8</w:t>
        </w:r>
        <w:r>
          <w:fldChar w:fldCharType="end"/>
        </w:r>
      </w:p>
    </w:sdtContent>
  </w:sdt>
  <w:p w:rsidR="00D47A98" w:rsidRDefault="00D47A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25B" w:rsidRDefault="00C504E0">
      <w:pPr>
        <w:spacing w:after="0" w:line="240" w:lineRule="auto"/>
      </w:pPr>
      <w:r>
        <w:separator/>
      </w:r>
    </w:p>
  </w:footnote>
  <w:footnote w:type="continuationSeparator" w:id="0">
    <w:p w:rsidR="0039125B" w:rsidRDefault="00C50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A98" w:rsidRDefault="00C504E0">
    <w:pPr>
      <w:pStyle w:val="En-tte"/>
    </w:pPr>
    <w:r>
      <w:rPr>
        <w:b/>
        <w:bCs/>
      </w:rPr>
      <w:t>Annexe 4</w:t>
    </w:r>
  </w:p>
  <w:p w:rsidR="00D47A98" w:rsidRDefault="00D47A98">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504"/>
    <w:multiLevelType w:val="multilevel"/>
    <w:tmpl w:val="ED207BC0"/>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abstractNum w:abstractNumId="1" w15:restartNumberingAfterBreak="0">
    <w:nsid w:val="0D4F32EC"/>
    <w:multiLevelType w:val="multilevel"/>
    <w:tmpl w:val="8B163254"/>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abstractNum w:abstractNumId="2" w15:restartNumberingAfterBreak="0">
    <w:nsid w:val="0F5010D3"/>
    <w:multiLevelType w:val="multilevel"/>
    <w:tmpl w:val="44F02B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57652A7"/>
    <w:multiLevelType w:val="multilevel"/>
    <w:tmpl w:val="509CD5E8"/>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abstractNum w:abstractNumId="4" w15:restartNumberingAfterBreak="0">
    <w:nsid w:val="30BA0053"/>
    <w:multiLevelType w:val="multilevel"/>
    <w:tmpl w:val="593CCA7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
      <w:lvlJc w:val="left"/>
      <w:pPr>
        <w:tabs>
          <w:tab w:val="num" w:pos="1080"/>
        </w:tabs>
        <w:ind w:left="1080" w:hanging="360"/>
      </w:pPr>
      <w:rPr>
        <w:rFonts w:ascii="Symbol" w:hAnsi="Symbol" w:cs="Symbol" w:hint="default"/>
        <w:b/>
        <w:sz w:val="22"/>
      </w:rPr>
    </w:lvl>
    <w:lvl w:ilvl="2">
      <w:start w:val="1"/>
      <w:numFmt w:val="bullet"/>
      <w:lvlText w:val=""/>
      <w:lvlJc w:val="left"/>
      <w:pPr>
        <w:tabs>
          <w:tab w:val="num" w:pos="1440"/>
        </w:tabs>
        <w:ind w:left="1440" w:hanging="360"/>
      </w:pPr>
      <w:rPr>
        <w:rFonts w:ascii="Symbol" w:hAnsi="Symbol" w:cs="Symbol" w:hint="default"/>
        <w:b/>
        <w:sz w:val="22"/>
      </w:rPr>
    </w:lvl>
    <w:lvl w:ilvl="3">
      <w:start w:val="1"/>
      <w:numFmt w:val="bullet"/>
      <w:lvlText w:val=""/>
      <w:lvlJc w:val="left"/>
      <w:pPr>
        <w:tabs>
          <w:tab w:val="num" w:pos="1800"/>
        </w:tabs>
        <w:ind w:left="1800" w:hanging="360"/>
      </w:pPr>
      <w:rPr>
        <w:rFonts w:ascii="Symbol" w:hAnsi="Symbol" w:cs="Symbol" w:hint="default"/>
        <w:b/>
        <w:sz w:val="22"/>
      </w:rPr>
    </w:lvl>
    <w:lvl w:ilvl="4">
      <w:start w:val="1"/>
      <w:numFmt w:val="bullet"/>
      <w:lvlText w:val=""/>
      <w:lvlJc w:val="left"/>
      <w:pPr>
        <w:tabs>
          <w:tab w:val="num" w:pos="2160"/>
        </w:tabs>
        <w:ind w:left="2160" w:hanging="360"/>
      </w:pPr>
      <w:rPr>
        <w:rFonts w:ascii="Symbol" w:hAnsi="Symbol" w:cs="Symbol" w:hint="default"/>
        <w:b/>
        <w:sz w:val="22"/>
      </w:rPr>
    </w:lvl>
    <w:lvl w:ilvl="5">
      <w:start w:val="1"/>
      <w:numFmt w:val="bullet"/>
      <w:lvlText w:val=""/>
      <w:lvlJc w:val="left"/>
      <w:pPr>
        <w:tabs>
          <w:tab w:val="num" w:pos="2520"/>
        </w:tabs>
        <w:ind w:left="2520" w:hanging="360"/>
      </w:pPr>
      <w:rPr>
        <w:rFonts w:ascii="Symbol" w:hAnsi="Symbol" w:cs="Symbol" w:hint="default"/>
        <w:b/>
        <w:sz w:val="22"/>
      </w:rPr>
    </w:lvl>
    <w:lvl w:ilvl="6">
      <w:start w:val="1"/>
      <w:numFmt w:val="bullet"/>
      <w:lvlText w:val=""/>
      <w:lvlJc w:val="left"/>
      <w:pPr>
        <w:tabs>
          <w:tab w:val="num" w:pos="2880"/>
        </w:tabs>
        <w:ind w:left="2880" w:hanging="360"/>
      </w:pPr>
      <w:rPr>
        <w:rFonts w:ascii="Symbol" w:hAnsi="Symbol" w:cs="Symbol" w:hint="default"/>
        <w:b/>
        <w:sz w:val="22"/>
      </w:rPr>
    </w:lvl>
    <w:lvl w:ilvl="7">
      <w:start w:val="1"/>
      <w:numFmt w:val="bullet"/>
      <w:lvlText w:val=""/>
      <w:lvlJc w:val="left"/>
      <w:pPr>
        <w:tabs>
          <w:tab w:val="num" w:pos="3240"/>
        </w:tabs>
        <w:ind w:left="3240" w:hanging="360"/>
      </w:pPr>
      <w:rPr>
        <w:rFonts w:ascii="Symbol" w:hAnsi="Symbol" w:cs="Symbol" w:hint="default"/>
        <w:b/>
        <w:sz w:val="22"/>
      </w:rPr>
    </w:lvl>
    <w:lvl w:ilvl="8">
      <w:start w:val="1"/>
      <w:numFmt w:val="bullet"/>
      <w:lvlText w:val=""/>
      <w:lvlJc w:val="left"/>
      <w:pPr>
        <w:tabs>
          <w:tab w:val="num" w:pos="3600"/>
        </w:tabs>
        <w:ind w:left="3600" w:hanging="360"/>
      </w:pPr>
      <w:rPr>
        <w:rFonts w:ascii="Symbol" w:hAnsi="Symbol" w:cs="Symbol" w:hint="default"/>
        <w:b/>
        <w:sz w:val="22"/>
      </w:rPr>
    </w:lvl>
  </w:abstractNum>
  <w:abstractNum w:abstractNumId="5" w15:restartNumberingAfterBreak="0">
    <w:nsid w:val="4DB1516D"/>
    <w:multiLevelType w:val="multilevel"/>
    <w:tmpl w:val="F0C42370"/>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abstractNum w:abstractNumId="6" w15:restartNumberingAfterBreak="0">
    <w:nsid w:val="504A639E"/>
    <w:multiLevelType w:val="multilevel"/>
    <w:tmpl w:val="EDA45E7E"/>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abstractNum w:abstractNumId="7" w15:restartNumberingAfterBreak="0">
    <w:nsid w:val="620E72A8"/>
    <w:multiLevelType w:val="multilevel"/>
    <w:tmpl w:val="EAA0A5E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abstractNum w:abstractNumId="8" w15:restartNumberingAfterBreak="0">
    <w:nsid w:val="6D424548"/>
    <w:multiLevelType w:val="multilevel"/>
    <w:tmpl w:val="5F8A8D0A"/>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
      <w:lvlJc w:val="left"/>
      <w:pPr>
        <w:tabs>
          <w:tab w:val="num" w:pos="1080"/>
        </w:tabs>
        <w:ind w:left="1080" w:hanging="360"/>
      </w:pPr>
      <w:rPr>
        <w:rFonts w:ascii="Symbol" w:hAnsi="Symbol" w:cs="Symbol" w:hint="default"/>
        <w:b/>
        <w:sz w:val="22"/>
      </w:rPr>
    </w:lvl>
    <w:lvl w:ilvl="2">
      <w:start w:val="1"/>
      <w:numFmt w:val="bullet"/>
      <w:lvlText w:val=""/>
      <w:lvlJc w:val="left"/>
      <w:pPr>
        <w:tabs>
          <w:tab w:val="num" w:pos="1440"/>
        </w:tabs>
        <w:ind w:left="1440" w:hanging="360"/>
      </w:pPr>
      <w:rPr>
        <w:rFonts w:ascii="Symbol" w:hAnsi="Symbol" w:cs="Symbol" w:hint="default"/>
        <w:b/>
        <w:sz w:val="22"/>
      </w:rPr>
    </w:lvl>
    <w:lvl w:ilvl="3">
      <w:start w:val="1"/>
      <w:numFmt w:val="bullet"/>
      <w:lvlText w:val=""/>
      <w:lvlJc w:val="left"/>
      <w:pPr>
        <w:tabs>
          <w:tab w:val="num" w:pos="1800"/>
        </w:tabs>
        <w:ind w:left="1800" w:hanging="360"/>
      </w:pPr>
      <w:rPr>
        <w:rFonts w:ascii="Symbol" w:hAnsi="Symbol" w:cs="Symbol" w:hint="default"/>
        <w:b/>
        <w:sz w:val="22"/>
      </w:rPr>
    </w:lvl>
    <w:lvl w:ilvl="4">
      <w:start w:val="1"/>
      <w:numFmt w:val="bullet"/>
      <w:lvlText w:val=""/>
      <w:lvlJc w:val="left"/>
      <w:pPr>
        <w:tabs>
          <w:tab w:val="num" w:pos="2160"/>
        </w:tabs>
        <w:ind w:left="2160" w:hanging="360"/>
      </w:pPr>
      <w:rPr>
        <w:rFonts w:ascii="Symbol" w:hAnsi="Symbol" w:cs="Symbol" w:hint="default"/>
        <w:b/>
        <w:sz w:val="22"/>
      </w:rPr>
    </w:lvl>
    <w:lvl w:ilvl="5">
      <w:start w:val="1"/>
      <w:numFmt w:val="bullet"/>
      <w:lvlText w:val=""/>
      <w:lvlJc w:val="left"/>
      <w:pPr>
        <w:tabs>
          <w:tab w:val="num" w:pos="2520"/>
        </w:tabs>
        <w:ind w:left="2520" w:hanging="360"/>
      </w:pPr>
      <w:rPr>
        <w:rFonts w:ascii="Symbol" w:hAnsi="Symbol" w:cs="Symbol" w:hint="default"/>
        <w:b/>
        <w:sz w:val="22"/>
      </w:rPr>
    </w:lvl>
    <w:lvl w:ilvl="6">
      <w:start w:val="1"/>
      <w:numFmt w:val="bullet"/>
      <w:lvlText w:val=""/>
      <w:lvlJc w:val="left"/>
      <w:pPr>
        <w:tabs>
          <w:tab w:val="num" w:pos="2880"/>
        </w:tabs>
        <w:ind w:left="2880" w:hanging="360"/>
      </w:pPr>
      <w:rPr>
        <w:rFonts w:ascii="Symbol" w:hAnsi="Symbol" w:cs="Symbol" w:hint="default"/>
        <w:b/>
        <w:sz w:val="22"/>
      </w:rPr>
    </w:lvl>
    <w:lvl w:ilvl="7">
      <w:start w:val="1"/>
      <w:numFmt w:val="bullet"/>
      <w:lvlText w:val=""/>
      <w:lvlJc w:val="left"/>
      <w:pPr>
        <w:tabs>
          <w:tab w:val="num" w:pos="3240"/>
        </w:tabs>
        <w:ind w:left="3240" w:hanging="360"/>
      </w:pPr>
      <w:rPr>
        <w:rFonts w:ascii="Symbol" w:hAnsi="Symbol" w:cs="Symbol" w:hint="default"/>
        <w:b/>
        <w:sz w:val="22"/>
      </w:rPr>
    </w:lvl>
    <w:lvl w:ilvl="8">
      <w:start w:val="1"/>
      <w:numFmt w:val="bullet"/>
      <w:lvlText w:val=""/>
      <w:lvlJc w:val="left"/>
      <w:pPr>
        <w:tabs>
          <w:tab w:val="num" w:pos="3600"/>
        </w:tabs>
        <w:ind w:left="3600" w:hanging="360"/>
      </w:pPr>
      <w:rPr>
        <w:rFonts w:ascii="Symbol" w:hAnsi="Symbol" w:cs="Symbol" w:hint="default"/>
        <w:b/>
        <w:sz w:val="22"/>
      </w:rPr>
    </w:lvl>
  </w:abstractNum>
  <w:abstractNum w:abstractNumId="9" w15:restartNumberingAfterBreak="0">
    <w:nsid w:val="6F597FD6"/>
    <w:multiLevelType w:val="multilevel"/>
    <w:tmpl w:val="F600EBFE"/>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num w:numId="1">
    <w:abstractNumId w:val="6"/>
  </w:num>
  <w:num w:numId="2">
    <w:abstractNumId w:val="5"/>
  </w:num>
  <w:num w:numId="3">
    <w:abstractNumId w:val="9"/>
  </w:num>
  <w:num w:numId="4">
    <w:abstractNumId w:val="0"/>
  </w:num>
  <w:num w:numId="5">
    <w:abstractNumId w:val="1"/>
  </w:num>
  <w:num w:numId="6">
    <w:abstractNumId w:val="3"/>
  </w:num>
  <w:num w:numId="7">
    <w:abstractNumId w:val="7"/>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98"/>
    <w:rsid w:val="0013688A"/>
    <w:rsid w:val="003240C5"/>
    <w:rsid w:val="0039125B"/>
    <w:rsid w:val="00C504E0"/>
    <w:rsid w:val="00D16E3E"/>
    <w:rsid w:val="00D277EE"/>
    <w:rsid w:val="00D47A98"/>
    <w:rsid w:val="00D95B5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D2AF"/>
  <w15:docId w15:val="{A80796C0-2C05-465A-A54D-45A4D931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color w:val="00000A"/>
      <w:sz w:val="22"/>
    </w:r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paragraph" w:styleId="Titre7">
    <w:name w:val="heading 7"/>
    <w:basedOn w:val="Titre"/>
    <w:pPr>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qFormat/>
    <w:rPr>
      <w:sz w:val="16"/>
    </w:rPr>
  </w:style>
  <w:style w:type="character" w:customStyle="1" w:styleId="CommentaireCar">
    <w:name w:val="Commentaire Car"/>
    <w:basedOn w:val="Policepardfaut"/>
    <w:link w:val="Commentaire"/>
    <w:uiPriority w:val="99"/>
    <w:semiHidden/>
    <w:qFormat/>
    <w:rsid w:val="00AE40C2"/>
    <w:rPr>
      <w:sz w:val="20"/>
      <w:szCs w:val="20"/>
    </w:rPr>
  </w:style>
  <w:style w:type="character" w:customStyle="1" w:styleId="ObjetducommentaireCar">
    <w:name w:val="Objet du commentaire Car"/>
    <w:basedOn w:val="CommentaireCar"/>
    <w:link w:val="Objetducommentaire"/>
    <w:uiPriority w:val="99"/>
    <w:semiHidden/>
    <w:qFormat/>
    <w:rsid w:val="00AE40C2"/>
    <w:rPr>
      <w:b/>
      <w:bCs/>
      <w:sz w:val="20"/>
      <w:szCs w:val="20"/>
    </w:rPr>
  </w:style>
  <w:style w:type="character" w:customStyle="1" w:styleId="TextedebullesCar">
    <w:name w:val="Texte de bulles Car"/>
    <w:basedOn w:val="Policepardfaut"/>
    <w:link w:val="Textedebulles"/>
    <w:uiPriority w:val="99"/>
    <w:semiHidden/>
    <w:qFormat/>
    <w:rsid w:val="00AE40C2"/>
    <w:rPr>
      <w:rFonts w:ascii="Tahoma" w:hAnsi="Tahoma" w:cs="Tahoma"/>
      <w:sz w:val="16"/>
      <w:szCs w:val="16"/>
    </w:rPr>
  </w:style>
  <w:style w:type="character" w:customStyle="1" w:styleId="En-tteCar">
    <w:name w:val="En-tête Car"/>
    <w:basedOn w:val="Policepardfaut"/>
    <w:uiPriority w:val="99"/>
    <w:qFormat/>
    <w:rsid w:val="000F4081"/>
  </w:style>
  <w:style w:type="character" w:customStyle="1" w:styleId="PieddepageCar">
    <w:name w:val="Pied de page Car"/>
    <w:basedOn w:val="Policepardfaut"/>
    <w:link w:val="Pieddepage"/>
    <w:uiPriority w:val="99"/>
    <w:qFormat/>
    <w:rsid w:val="000F4081"/>
  </w:style>
  <w:style w:type="character" w:customStyle="1" w:styleId="ListLabel1">
    <w:name w:val="ListLabel 1"/>
    <w:qFormat/>
    <w:rPr>
      <w:rFonts w:eastAsia="Calibri" w:cs="Calibri"/>
      <w:b/>
    </w:rPr>
  </w:style>
  <w:style w:type="character" w:customStyle="1" w:styleId="ListLabel2">
    <w:name w:val="ListLabel 2"/>
    <w:qFormat/>
    <w:rPr>
      <w:rFonts w:cs="Courier New"/>
    </w:rPr>
  </w:style>
  <w:style w:type="character" w:customStyle="1" w:styleId="Puces">
    <w:name w:val="Puces"/>
    <w:qFormat/>
    <w:rPr>
      <w:rFonts w:ascii="OpenSymbol" w:eastAsia="OpenSymbol" w:hAnsi="OpenSymbol" w:cs="OpenSymbol"/>
    </w:rPr>
  </w:style>
  <w:style w:type="character" w:customStyle="1" w:styleId="CharAttribute3">
    <w:name w:val="CharAttribute3"/>
    <w:qFormat/>
    <w:rPr>
      <w:rFonts w:ascii="Arial" w:eastAsia="Arial" w:hAnsi="Arial" w:cs="Arial"/>
    </w:rPr>
  </w:style>
  <w:style w:type="character" w:customStyle="1" w:styleId="Caractresdenumrotation">
    <w:name w:val="Caractères de numérotation"/>
    <w:qFormat/>
  </w:style>
  <w:style w:type="character" w:customStyle="1" w:styleId="WW8Num4z0">
    <w:name w:val="WW8Num4z0"/>
    <w:qFormat/>
    <w:rPr>
      <w:rFonts w:ascii="Symbol" w:eastAsia="OpenSymbol" w:hAnsi="Symbol"/>
    </w:rPr>
  </w:style>
  <w:style w:type="character" w:customStyle="1" w:styleId="WW8Num4z1">
    <w:name w:val="WW8Num4z1"/>
    <w:qFormat/>
    <w:rPr>
      <w:rFonts w:ascii="OpenSymbol" w:eastAsia="OpenSymbol" w:hAnsi="OpenSymbol"/>
    </w:rPr>
  </w:style>
  <w:style w:type="character" w:customStyle="1" w:styleId="WW8Num5z0">
    <w:name w:val="WW8Num5z0"/>
    <w:qFormat/>
    <w:rPr>
      <w:rFonts w:ascii="Symbol" w:eastAsia="OpenSymbol" w:hAnsi="Symbol"/>
      <w:sz w:val="22"/>
      <w:shd w:val="clear" w:color="auto" w:fill="FFFF00"/>
    </w:rPr>
  </w:style>
  <w:style w:type="character" w:customStyle="1" w:styleId="WW8Num5z1">
    <w:name w:val="WW8Num5z1"/>
    <w:qFormat/>
    <w:rPr>
      <w:rFonts w:ascii="OpenSymbol" w:eastAsia="OpenSymbol" w:hAnsi="OpenSymbo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0">
    <w:name w:val="WW8Num6z0"/>
    <w:qFormat/>
    <w:rPr>
      <w:rFonts w:ascii="Symbol" w:eastAsia="OpenSymbol" w:hAnsi="Symbol"/>
    </w:rPr>
  </w:style>
  <w:style w:type="character" w:customStyle="1" w:styleId="WW8Num6z1">
    <w:name w:val="WW8Num6z1"/>
    <w:qFormat/>
    <w:rPr>
      <w:rFonts w:ascii="OpenSymbol" w:eastAsia="OpenSymbol" w:hAnsi="OpenSymbol"/>
    </w:rPr>
  </w:style>
  <w:style w:type="character" w:customStyle="1" w:styleId="WW8Num7z0">
    <w:name w:val="WW8Num7z0"/>
    <w:qFormat/>
    <w:rPr>
      <w:rFonts w:ascii="Symbol" w:eastAsia="OpenSymbol" w:hAnsi="Symbol"/>
    </w:rPr>
  </w:style>
  <w:style w:type="character" w:customStyle="1" w:styleId="WW8Num7z1">
    <w:name w:val="WW8Num7z1"/>
    <w:qFormat/>
    <w:rPr>
      <w:rFonts w:ascii="OpenSymbol" w:eastAsia="OpenSymbol" w:hAnsi="OpenSymbol"/>
    </w:rPr>
  </w:style>
  <w:style w:type="character" w:customStyle="1" w:styleId="WW8Num8z0">
    <w:name w:val="WW8Num8z0"/>
    <w:qFormat/>
    <w:rPr>
      <w:rFonts w:ascii="Symbol" w:eastAsia="OpenSymbol" w:hAnsi="Symbol"/>
    </w:rPr>
  </w:style>
  <w:style w:type="character" w:customStyle="1" w:styleId="WW8Num8z1">
    <w:name w:val="WW8Num8z1"/>
    <w:qFormat/>
    <w:rPr>
      <w:rFonts w:ascii="OpenSymbol" w:eastAsia="OpenSymbol" w:hAnsi="OpenSymbol"/>
    </w:rPr>
  </w:style>
  <w:style w:type="character" w:customStyle="1" w:styleId="WW8Num9z0">
    <w:name w:val="WW8Num9z0"/>
    <w:qFormat/>
    <w:rPr>
      <w:rFonts w:ascii="Symbol" w:eastAsia="OpenSymbol" w:hAnsi="Symbol"/>
    </w:rPr>
  </w:style>
  <w:style w:type="character" w:customStyle="1" w:styleId="WW8Num9z1">
    <w:name w:val="WW8Num9z1"/>
    <w:qFormat/>
    <w:rPr>
      <w:rFonts w:ascii="OpenSymbol" w:eastAsia="OpenSymbol" w:hAnsi="OpenSymbol"/>
    </w:rPr>
  </w:style>
  <w:style w:type="character" w:customStyle="1" w:styleId="WW8Num10z0">
    <w:name w:val="WW8Num10z0"/>
    <w:qFormat/>
    <w:rPr>
      <w:rFonts w:ascii="Symbol" w:eastAsia="OpenSymbol" w:hAnsi="Symbol"/>
    </w:rPr>
  </w:style>
  <w:style w:type="character" w:customStyle="1" w:styleId="WW8Num10z1">
    <w:name w:val="WW8Num10z1"/>
    <w:qFormat/>
    <w:rPr>
      <w:rFonts w:ascii="OpenSymbol" w:eastAsia="OpenSymbol" w:hAnsi="OpenSymbol"/>
    </w:rPr>
  </w:style>
  <w:style w:type="character" w:customStyle="1" w:styleId="Policepardfaut9">
    <w:name w:val="Police par défaut9"/>
    <w:qFormat/>
  </w:style>
  <w:style w:type="character" w:customStyle="1" w:styleId="Policepardfaut8">
    <w:name w:val="Police par défaut8"/>
    <w:qFormat/>
  </w:style>
  <w:style w:type="character" w:customStyle="1" w:styleId="Policepardfaut7">
    <w:name w:val="Police par défaut7"/>
    <w:qFormat/>
  </w:style>
  <w:style w:type="character" w:customStyle="1" w:styleId="Policepardfaut6">
    <w:name w:val="Police par défaut6"/>
    <w:qFormat/>
  </w:style>
  <w:style w:type="character" w:customStyle="1" w:styleId="WW8Num2z5">
    <w:name w:val="WW8Num2z5"/>
    <w:qFormat/>
  </w:style>
  <w:style w:type="character" w:customStyle="1" w:styleId="WW8Num2z6">
    <w:name w:val="WW8Num2z6"/>
    <w:qFormat/>
    <w:rPr>
      <w:sz w:val="22"/>
    </w:rPr>
  </w:style>
  <w:style w:type="character" w:customStyle="1" w:styleId="WW8Num2z7">
    <w:name w:val="WW8Num2z7"/>
    <w:qFormat/>
  </w:style>
  <w:style w:type="character" w:customStyle="1" w:styleId="WW8Num2z8">
    <w:name w:val="WW8Num2z8"/>
    <w:qFormat/>
  </w:style>
  <w:style w:type="character" w:customStyle="1" w:styleId="WW8Num11z0">
    <w:name w:val="WW8Num11z0"/>
    <w:qFormat/>
    <w:rPr>
      <w:rFonts w:ascii="Symbol" w:eastAsia="OpenSymbol" w:hAnsi="Symbol"/>
    </w:rPr>
  </w:style>
  <w:style w:type="character" w:customStyle="1" w:styleId="WW8Num11z1">
    <w:name w:val="WW8Num11z1"/>
    <w:qFormat/>
    <w:rPr>
      <w:rFonts w:ascii="OpenSymbol" w:eastAsia="OpenSymbol" w:hAnsi="OpenSymbol"/>
    </w:rPr>
  </w:style>
  <w:style w:type="character" w:customStyle="1" w:styleId="Policepardfaut5">
    <w:name w:val="Police par défaut5"/>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7z2">
    <w:name w:val="WW8Num7z2"/>
    <w:qFormat/>
    <w:rPr>
      <w:rFonts w:ascii="Wingdings" w:eastAsia="Wingdings" w:hAnsi="Wingdings"/>
    </w:rPr>
  </w:style>
  <w:style w:type="character" w:customStyle="1" w:styleId="WW8Num7z3">
    <w:name w:val="WW8Num7z3"/>
    <w:qFormat/>
    <w:rPr>
      <w:rFonts w:ascii="Symbol" w:eastAsia="Symbol" w:hAnsi="Symbol"/>
    </w:rPr>
  </w:style>
  <w:style w:type="character" w:customStyle="1" w:styleId="WW8Num12z0">
    <w:name w:val="WW8Num12z0"/>
    <w:qFormat/>
    <w:rPr>
      <w:rFonts w:ascii="Symbol" w:eastAsia="Symbol" w:hAnsi="Symbol"/>
    </w:rPr>
  </w:style>
  <w:style w:type="character" w:customStyle="1" w:styleId="WW8Num13z0">
    <w:name w:val="WW8Num13z0"/>
    <w:qFormat/>
    <w:rPr>
      <w:rFonts w:ascii="Symbol" w:eastAsia="Symbol" w:hAnsi="Symbol"/>
      <w:sz w:val="16"/>
    </w:rPr>
  </w:style>
  <w:style w:type="character" w:customStyle="1" w:styleId="Policepardfaut1">
    <w:name w:val="Police par défaut1"/>
    <w:qFormat/>
  </w:style>
  <w:style w:type="character" w:customStyle="1" w:styleId="Dcor">
    <w:name w:val="Décor"/>
    <w:qFormat/>
    <w:rPr>
      <w:rFonts w:ascii="Optimum" w:eastAsia="Optimum" w:hAnsi="Optimum"/>
      <w:i/>
      <w:sz w:val="16"/>
    </w:rPr>
  </w:style>
  <w:style w:type="character" w:customStyle="1" w:styleId="Adresse">
    <w:name w:val="Adresse"/>
    <w:qFormat/>
    <w:rPr>
      <w:rFonts w:ascii="Times" w:eastAsia="Times" w:hAnsi="Times"/>
      <w:sz w:val="22"/>
    </w:rPr>
  </w:style>
  <w:style w:type="character" w:customStyle="1" w:styleId="WW8Num8z3">
    <w:name w:val="WW8Num8z3"/>
    <w:qFormat/>
    <w:rPr>
      <w:rFonts w:ascii="Symbol" w:eastAsia="Symbol" w:hAnsi="Symbol"/>
    </w:rPr>
  </w:style>
  <w:style w:type="character" w:customStyle="1" w:styleId="WW8Num3z1">
    <w:name w:val="WW8Num3z1"/>
    <w:qFormat/>
    <w:rPr>
      <w:rFonts w:ascii="Courier New" w:eastAsia="Courier New" w:hAnsi="Courier New"/>
    </w:rPr>
  </w:style>
  <w:style w:type="character" w:customStyle="1" w:styleId="WW8Num3z2">
    <w:name w:val="WW8Num3z2"/>
    <w:qFormat/>
    <w:rPr>
      <w:rFonts w:ascii="Wingdings" w:eastAsia="Wingdings" w:hAnsi="Wingdings"/>
    </w:rPr>
  </w:style>
  <w:style w:type="character" w:customStyle="1" w:styleId="WW8Num3z3">
    <w:name w:val="WW8Num3z3"/>
    <w:qFormat/>
    <w:rPr>
      <w:rFonts w:ascii="Symbol" w:eastAsia="Symbol" w:hAnsi="Symbol"/>
    </w:rPr>
  </w:style>
  <w:style w:type="character" w:customStyle="1" w:styleId="WW8Num5z3">
    <w:name w:val="WW8Num5z3"/>
    <w:qFormat/>
    <w:rPr>
      <w:rFonts w:ascii="Symbol" w:eastAsia="Symbol" w:hAnsi="Symbol"/>
    </w:rPr>
  </w:style>
  <w:style w:type="character" w:customStyle="1" w:styleId="WW-Caractresdenotedefin">
    <w:name w:val="WW-Caractères de note de fin"/>
    <w:qFormat/>
  </w:style>
  <w:style w:type="character" w:customStyle="1" w:styleId="WW8NumSt8z0">
    <w:name w:val="WW8NumSt8z0"/>
    <w:qFormat/>
    <w:rPr>
      <w:rFonts w:ascii="Symbol" w:eastAsia="Symbol" w:hAnsi="Symbol"/>
      <w:color w:val="666666"/>
      <w:sz w:val="20"/>
      <w:lang w:val="fr-FR" w:eastAsia="fr-FR"/>
    </w:rPr>
  </w:style>
  <w:style w:type="character" w:styleId="Appelnotedebasdep">
    <w:name w:val="footnote reference"/>
    <w:qFormat/>
    <w:rPr>
      <w:vertAlign w:val="superscript"/>
    </w:rPr>
  </w:style>
  <w:style w:type="character" w:customStyle="1" w:styleId="WW8Num13z3">
    <w:name w:val="WW8Num13z3"/>
    <w:qFormat/>
    <w:rPr>
      <w:rFonts w:ascii="Symbol" w:eastAsia="Symbol" w:hAnsi="Symbol"/>
    </w:rPr>
  </w:style>
  <w:style w:type="character" w:customStyle="1" w:styleId="WW8Num13z2">
    <w:name w:val="WW8Num13z2"/>
    <w:qFormat/>
    <w:rPr>
      <w:rFonts w:ascii="Wingdings" w:eastAsia="Wingdings" w:hAnsi="Wingdings"/>
    </w:rPr>
  </w:style>
  <w:style w:type="character" w:customStyle="1" w:styleId="WW8Num13z1">
    <w:name w:val="WW8Num13z1"/>
    <w:qFormat/>
    <w:rPr>
      <w:rFonts w:ascii="Courier New" w:eastAsia="Courier New" w:hAnsi="Courier New"/>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5z2">
    <w:name w:val="WW8Num5z2"/>
    <w:qFormat/>
    <w:rPr>
      <w:rFonts w:ascii="Wingdings" w:eastAsia="Wingdings" w:hAnsi="Wingdings"/>
    </w:rPr>
  </w:style>
  <w:style w:type="character" w:customStyle="1" w:styleId="A1">
    <w:name w:val="A1"/>
    <w:qFormat/>
    <w:rPr>
      <w:rFonts w:ascii="Frutiger LT Std 45 Light" w:hAnsi="Frutiger LT Std 45 Light"/>
      <w:color w:val="000000"/>
      <w:sz w:val="18"/>
    </w:rPr>
  </w:style>
  <w:style w:type="character" w:customStyle="1" w:styleId="A9">
    <w:name w:val="A9"/>
    <w:qFormat/>
    <w:rPr>
      <w:rFonts w:ascii="Frutiger LT Std 45 Light" w:hAnsi="Frutiger LT Std 45 Light"/>
      <w:i/>
      <w:color w:val="000000"/>
      <w:sz w:val="18"/>
      <w:u w:val="single"/>
    </w:rPr>
  </w:style>
  <w:style w:type="character" w:customStyle="1" w:styleId="Character20style">
    <w:name w:val="Character_20_style"/>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rPr>
      <w:rFonts w:eastAsia="Tahoma"/>
    </w:rPr>
  </w:style>
  <w:style w:type="character" w:customStyle="1" w:styleId="WW8Num2z3">
    <w:name w:val="WW8Num2z3"/>
    <w:qFormat/>
    <w:rPr>
      <w:rFonts w:ascii="Tahoma" w:eastAsia="Tahoma" w:hAnsi="Tahoma"/>
      <w:b w:val="0"/>
      <w:sz w:val="24"/>
    </w:rPr>
  </w:style>
  <w:style w:type="character" w:customStyle="1" w:styleId="WW8Num2z4">
    <w:name w:val="WW8Num2z4"/>
    <w:qFormat/>
    <w:rPr>
      <w:rFonts w:ascii="Symbol" w:eastAsia="starsymbol" w:hAnsi="Symbol"/>
      <w:sz w:val="18"/>
    </w:rPr>
  </w:style>
  <w:style w:type="character" w:customStyle="1" w:styleId="WW8Num2z2">
    <w:name w:val="WW8Num2z2"/>
    <w:qFormat/>
    <w:rPr>
      <w:rFonts w:ascii="Tahoma" w:eastAsia="Tahoma" w:hAnsi="Tahoma"/>
      <w:b/>
      <w:i/>
      <w:sz w:val="22"/>
    </w:rPr>
  </w:style>
  <w:style w:type="character" w:customStyle="1" w:styleId="ListLabel9">
    <w:name w:val="ListLabel 9"/>
    <w:qFormat/>
    <w:rPr>
      <w:rFonts w:eastAsia="starsymbol"/>
      <w:sz w:val="18"/>
    </w:rPr>
  </w:style>
  <w:style w:type="character" w:customStyle="1" w:styleId="ListLabel8">
    <w:name w:val="ListLabel 8"/>
    <w:qFormat/>
    <w:rPr>
      <w:rFonts w:eastAsia="Symbol"/>
      <w:sz w:val="18"/>
    </w:rPr>
  </w:style>
  <w:style w:type="character" w:customStyle="1" w:styleId="ListLabel7">
    <w:name w:val="ListLabel 7"/>
    <w:qFormat/>
    <w:rPr>
      <w:rFonts w:eastAsia="starsymbol"/>
      <w:sz w:val="18"/>
    </w:rPr>
  </w:style>
  <w:style w:type="character" w:customStyle="1" w:styleId="ListLabel6">
    <w:name w:val="ListLabel 6"/>
    <w:qFormat/>
    <w:rPr>
      <w:rFonts w:eastAsia="Symbol"/>
      <w:sz w:val="18"/>
    </w:rPr>
  </w:style>
  <w:style w:type="character" w:customStyle="1" w:styleId="ListLabel5">
    <w:name w:val="ListLabel 5"/>
    <w:qFormat/>
    <w:rPr>
      <w:rFonts w:eastAsia="Times New Roman"/>
    </w:rPr>
  </w:style>
  <w:style w:type="character" w:customStyle="1" w:styleId="ListLabel4">
    <w:name w:val="ListLabel 4"/>
    <w:qFormat/>
    <w:rPr>
      <w:rFonts w:eastAsia="starsymbol"/>
      <w:sz w:val="18"/>
    </w:rPr>
  </w:style>
  <w:style w:type="character" w:customStyle="1" w:styleId="ListLabel3">
    <w:name w:val="ListLabel 3"/>
    <w:qFormat/>
    <w:rPr>
      <w:rFonts w:eastAsia="starsymbol"/>
      <w:sz w:val="18"/>
    </w:rPr>
  </w:style>
  <w:style w:type="character" w:customStyle="1" w:styleId="WW8Num2z0">
    <w:name w:val="WW8Num2z0"/>
    <w:qFormat/>
    <w:rPr>
      <w:rFonts w:ascii="Wingdings" w:eastAsia="Wingdings" w:hAnsi="Wingdings"/>
    </w:rPr>
  </w:style>
  <w:style w:type="character" w:customStyle="1" w:styleId="WW8Num3z0">
    <w:name w:val="WW8Num3z0"/>
    <w:qFormat/>
    <w:rPr>
      <w:rFonts w:ascii="Wingdings" w:eastAsia="Wingdings" w:hAnsi="Wingdings"/>
    </w:rPr>
  </w:style>
  <w:style w:type="character" w:customStyle="1" w:styleId="Gras">
    <w:name w:val="Gras"/>
    <w:qFormat/>
    <w:rPr>
      <w:b/>
    </w:rPr>
  </w:style>
  <w:style w:type="character" w:customStyle="1" w:styleId="WW-Policepardfaut1111">
    <w:name w:val="WW-Police par défaut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
    <w:name w:val="WW-Absatz-Standardschriftart1111111111111111111111111111"/>
    <w:qFormat/>
  </w:style>
  <w:style w:type="character" w:customStyle="1" w:styleId="WW-Policepardfaut111">
    <w:name w:val="WW-Police par défaut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
    <w:name w:val="WW-Absatz-Standardschriftart1111111111111111111111"/>
    <w:qFormat/>
  </w:style>
  <w:style w:type="character" w:customStyle="1" w:styleId="WW-Policepardfaut11">
    <w:name w:val="WW-Police par défaut11"/>
    <w:qFormat/>
  </w:style>
  <w:style w:type="character" w:customStyle="1" w:styleId="WW-Absatz-Standardschriftart111111111111111111111">
    <w:name w:val="WW-Absatz-Standardschriftart11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
    <w:name w:val="WW-Absatz-Standardschriftart11111111111111111"/>
    <w:qFormat/>
  </w:style>
  <w:style w:type="character" w:customStyle="1" w:styleId="WW-Absatz-Standardschriftart1111111111111111">
    <w:name w:val="WW-Absatz-Standardschriftart1111111111111111"/>
    <w:qFormat/>
  </w:style>
  <w:style w:type="character" w:customStyle="1" w:styleId="WW-Policepardfaut1">
    <w:name w:val="WW-Police par défaut1"/>
    <w:qFormat/>
  </w:style>
  <w:style w:type="character" w:customStyle="1" w:styleId="WW-Policepardfaut">
    <w:name w:val="WW-Police par défaut"/>
    <w:qFormat/>
  </w:style>
  <w:style w:type="character" w:customStyle="1" w:styleId="WW-Absatz-Standardschriftart111111111111111">
    <w:name w:val="WW-Absatz-Standardschriftart111111111111111"/>
    <w:qFormat/>
  </w:style>
  <w:style w:type="character" w:customStyle="1" w:styleId="WW-Absatz-Standardschriftart11111111111111">
    <w:name w:val="WW-Absatz-Standardschriftart11111111111111"/>
    <w:qFormat/>
  </w:style>
  <w:style w:type="character" w:customStyle="1" w:styleId="WW-Absatz-Standardschriftart1111111111111">
    <w:name w:val="WW-Absatz-Standardschriftart1111111111111"/>
    <w:qFormat/>
  </w:style>
  <w:style w:type="character" w:customStyle="1" w:styleId="WW-Absatz-Standardschriftart111111111111">
    <w:name w:val="WW-Absatz-Standardschriftart111111111111"/>
    <w:qFormat/>
  </w:style>
  <w:style w:type="character" w:customStyle="1" w:styleId="WW-Absatz-Standardschriftart11111111111">
    <w:name w:val="WW-Absatz-Standardschriftart11111111111"/>
    <w:qFormat/>
  </w:style>
  <w:style w:type="character" w:customStyle="1" w:styleId="WW-Absatz-Standardschriftart1111111111">
    <w:name w:val="WW-Absatz-Standardschriftart1111111111"/>
    <w:qFormat/>
  </w:style>
  <w:style w:type="character" w:customStyle="1" w:styleId="WW-Absatz-Standardschriftart111111111">
    <w:name w:val="WW-Absatz-Standardschriftart111111111"/>
    <w:qFormat/>
  </w:style>
  <w:style w:type="character" w:customStyle="1" w:styleId="WW-Absatz-Standardschriftart11111111">
    <w:name w:val="WW-Absatz-Standardschriftart11111111"/>
    <w:qFormat/>
  </w:style>
  <w:style w:type="character" w:customStyle="1" w:styleId="WW-Absatz-Standardschriftart1111111">
    <w:name w:val="WW-Absatz-Standardschriftart1111111"/>
    <w:qFormat/>
  </w:style>
  <w:style w:type="character" w:customStyle="1" w:styleId="WW-Absatz-Standardschriftart111111">
    <w:name w:val="WW-Absatz-Standardschriftart111111"/>
    <w:qFormat/>
  </w:style>
  <w:style w:type="character" w:customStyle="1" w:styleId="WW-Absatz-Standardschriftart11111">
    <w:name w:val="WW-Absatz-Standardschriftart11111"/>
    <w:qFormat/>
  </w:style>
  <w:style w:type="character" w:customStyle="1" w:styleId="WW-Absatz-Standardschriftart1111">
    <w:name w:val="WW-Absatz-Standardschriftart1111"/>
    <w:qFormat/>
  </w:style>
  <w:style w:type="character" w:customStyle="1" w:styleId="WW-Absatz-Standardschriftart111">
    <w:name w:val="WW-Absatz-Standardschriftart111"/>
    <w:qFormat/>
  </w:style>
  <w:style w:type="character" w:customStyle="1" w:styleId="WW-Absatz-Standardschriftart11">
    <w:name w:val="WW-Absatz-Standardschriftart11"/>
    <w:qFormat/>
  </w:style>
  <w:style w:type="character" w:customStyle="1" w:styleId="WW-Absatz-Standardschriftart1">
    <w:name w:val="WW-Absatz-Standardschriftart1"/>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Accentuationforte">
    <w:name w:val="Accentuation forte"/>
    <w:basedOn w:val="WW-Policepardfaut111"/>
    <w:rPr>
      <w:b/>
      <w:bCs/>
    </w:rPr>
  </w:style>
  <w:style w:type="character" w:customStyle="1" w:styleId="ListLabel10">
    <w:name w:val="ListLabel 10"/>
    <w:qFormat/>
    <w:rPr>
      <w:rFonts w:cs="Calibri"/>
      <w:b/>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ascii="Tahoma" w:hAnsi="Tahoma" w:cs="OpenSymbol"/>
      <w:b/>
      <w:sz w:val="22"/>
    </w:rPr>
  </w:style>
  <w:style w:type="character" w:customStyle="1" w:styleId="ListLabel15">
    <w:name w:val="ListLabel 15"/>
    <w:qFormat/>
    <w:rPr>
      <w:rFonts w:ascii="Tahoma" w:hAnsi="Tahoma" w:cs="OpenSymbol"/>
      <w:b w:val="0"/>
      <w:sz w:val="22"/>
    </w:rPr>
  </w:style>
  <w:style w:type="character" w:customStyle="1" w:styleId="ListLabel16">
    <w:name w:val="ListLabel 16"/>
    <w:qFormat/>
    <w:rPr>
      <w:rFonts w:ascii="Tahoma" w:hAnsi="Tahoma" w:cs="Symbol"/>
      <w:b/>
      <w:sz w:val="22"/>
    </w:rPr>
  </w:style>
  <w:style w:type="character" w:customStyle="1" w:styleId="ListLabel17">
    <w:name w:val="ListLabel 17"/>
    <w:qFormat/>
    <w:rPr>
      <w:rFonts w:ascii="Tahoma" w:hAnsi="Tahoma" w:cs="OpenSymbol"/>
      <w:b w:val="0"/>
      <w:sz w:val="22"/>
    </w:rPr>
  </w:style>
  <w:style w:type="character" w:customStyle="1" w:styleId="ListLabel18">
    <w:name w:val="ListLabel 18"/>
    <w:qFormat/>
    <w:rPr>
      <w:rFonts w:ascii="Tahoma" w:hAnsi="Tahoma" w:cs="Symbol"/>
      <w:b/>
      <w:sz w:val="22"/>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ascii="Times New Roman" w:hAnsi="Times New Roman" w:cs="Mangal"/>
    </w:rPr>
  </w:style>
  <w:style w:type="paragraph" w:styleId="Lgende">
    <w:name w:val="caption"/>
    <w:basedOn w:val="Normal"/>
    <w:qFormat/>
    <w:pPr>
      <w:spacing w:before="120" w:after="120"/>
      <w:textAlignment w:val="baseline"/>
    </w:pPr>
    <w:rPr>
      <w:rFonts w:ascii="Helvetica Linotype" w:eastAsia="Tahoma" w:hAnsi="Helvetica Linotype"/>
      <w:i/>
      <w:color w:val="000000"/>
      <w:sz w:val="24"/>
      <w:lang w:eastAsia="ar-SA"/>
    </w:rPr>
  </w:style>
  <w:style w:type="paragraph" w:customStyle="1" w:styleId="Index">
    <w:name w:val="Index"/>
    <w:basedOn w:val="Normal"/>
    <w:qFormat/>
    <w:pPr>
      <w:suppressLineNumbers/>
    </w:pPr>
    <w:rPr>
      <w:rFonts w:ascii="Times New Roman" w:hAnsi="Times New Roman" w:cs="Mangal"/>
    </w:rPr>
  </w:style>
  <w:style w:type="paragraph" w:styleId="Commentaire">
    <w:name w:val="annotation text"/>
    <w:basedOn w:val="Normal"/>
    <w:link w:val="CommentaireCar"/>
    <w:qFormat/>
    <w:pPr>
      <w:textAlignment w:val="baseline"/>
    </w:pPr>
    <w:rPr>
      <w:rFonts w:ascii="CG Times (W1)" w:eastAsia="Helvetica Linotype" w:hAnsi="CG Times (W1)"/>
      <w:color w:val="000000"/>
      <w:sz w:val="20"/>
      <w:lang w:eastAsia="ar-SA"/>
    </w:rPr>
  </w:style>
  <w:style w:type="paragraph" w:styleId="Objetducommentaire">
    <w:name w:val="annotation subject"/>
    <w:link w:val="ObjetducommentaireCar"/>
    <w:qFormat/>
    <w:pPr>
      <w:suppressAutoHyphens/>
      <w:spacing w:after="200"/>
    </w:pPr>
    <w:rPr>
      <w:rFonts w:ascii="CG Times (W1)" w:eastAsia="Mangal" w:hAnsi="CG Times (W1)" w:cs="Liberation Serif"/>
      <w:b/>
      <w:color w:val="000000"/>
      <w:szCs w:val="24"/>
      <w:lang w:eastAsia="hi-IN"/>
    </w:rPr>
  </w:style>
  <w:style w:type="paragraph" w:styleId="Textedebulles">
    <w:name w:val="Balloon Text"/>
    <w:basedOn w:val="Normal"/>
    <w:link w:val="TextedebullesCar"/>
    <w:qFormat/>
    <w:pPr>
      <w:textAlignment w:val="baseline"/>
    </w:pPr>
    <w:rPr>
      <w:rFonts w:ascii="Tahoma" w:eastAsia="Helvetica Linotype" w:hAnsi="Tahoma"/>
      <w:color w:val="000000"/>
      <w:sz w:val="16"/>
      <w:lang w:eastAsia="ar-SA"/>
    </w:rPr>
  </w:style>
  <w:style w:type="paragraph" w:styleId="Paragraphedeliste">
    <w:name w:val="List Paragraph"/>
    <w:basedOn w:val="Normal"/>
    <w:uiPriority w:val="34"/>
    <w:qFormat/>
    <w:rsid w:val="005D2FE5"/>
    <w:pPr>
      <w:ind w:left="720"/>
      <w:contextualSpacing/>
    </w:pPr>
  </w:style>
  <w:style w:type="paragraph" w:styleId="En-tte">
    <w:name w:val="header"/>
    <w:basedOn w:val="Normal"/>
    <w:uiPriority w:val="99"/>
    <w:unhideWhenUsed/>
    <w:rsid w:val="000F4081"/>
    <w:pPr>
      <w:tabs>
        <w:tab w:val="center" w:pos="4536"/>
        <w:tab w:val="right" w:pos="9072"/>
      </w:tabs>
      <w:spacing w:after="0" w:line="240" w:lineRule="auto"/>
    </w:pPr>
  </w:style>
  <w:style w:type="paragraph" w:styleId="Pieddepage">
    <w:name w:val="footer"/>
    <w:basedOn w:val="Normal"/>
    <w:link w:val="PieddepageCar"/>
    <w:uiPriority w:val="99"/>
    <w:unhideWhenUsed/>
    <w:rsid w:val="000F4081"/>
    <w:pPr>
      <w:tabs>
        <w:tab w:val="center" w:pos="4536"/>
        <w:tab w:val="right" w:pos="9072"/>
      </w:tabs>
      <w:spacing w:after="0" w:line="240" w:lineRule="auto"/>
    </w:p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paragraph" w:customStyle="1" w:styleId="Titre9">
    <w:name w:val="Titre9"/>
    <w:basedOn w:val="Normal"/>
    <w:qFormat/>
    <w:pPr>
      <w:keepNext/>
      <w:spacing w:before="240" w:after="120"/>
      <w:textAlignment w:val="baseline"/>
    </w:pPr>
    <w:rPr>
      <w:rFonts w:ascii="Liberation Sans" w:eastAsia="Helvetica Linotype" w:hAnsi="Liberation Sans"/>
      <w:color w:val="000000"/>
      <w:sz w:val="28"/>
      <w:lang w:eastAsia="ar-SA"/>
    </w:rPr>
  </w:style>
  <w:style w:type="paragraph" w:customStyle="1" w:styleId="Titre8">
    <w:name w:val="Titre8"/>
    <w:basedOn w:val="Normal"/>
    <w:qFormat/>
    <w:pPr>
      <w:keepNext/>
      <w:spacing w:before="240" w:after="120"/>
      <w:textAlignment w:val="baseline"/>
    </w:pPr>
    <w:rPr>
      <w:rFonts w:ascii="Liberation Sans" w:eastAsia="Helvetica Linotype" w:hAnsi="Liberation Sans"/>
      <w:color w:val="000000"/>
      <w:sz w:val="28"/>
      <w:lang w:eastAsia="ar-SA"/>
    </w:rPr>
  </w:style>
  <w:style w:type="paragraph" w:customStyle="1" w:styleId="Titre70">
    <w:name w:val="Titre7"/>
    <w:basedOn w:val="Normal"/>
    <w:qFormat/>
    <w:pPr>
      <w:keepNext/>
      <w:spacing w:before="240" w:after="120"/>
      <w:textAlignment w:val="baseline"/>
    </w:pPr>
    <w:rPr>
      <w:rFonts w:ascii="Liberation Sans" w:eastAsia="Helvetica Linotype" w:hAnsi="Liberation Sans"/>
      <w:color w:val="000000"/>
      <w:sz w:val="28"/>
      <w:lang w:eastAsia="ar-SA"/>
    </w:rPr>
  </w:style>
  <w:style w:type="paragraph" w:customStyle="1" w:styleId="Titre6">
    <w:name w:val="Titre6"/>
    <w:basedOn w:val="Normal"/>
    <w:qFormat/>
    <w:pPr>
      <w:keepNext/>
      <w:spacing w:before="240" w:after="120"/>
      <w:textAlignment w:val="baseline"/>
    </w:pPr>
    <w:rPr>
      <w:rFonts w:ascii="Liberation Sans" w:eastAsia="Helvetica Linotype" w:hAnsi="Liberation Sans"/>
      <w:color w:val="000000"/>
      <w:sz w:val="28"/>
      <w:lang w:eastAsia="ar-SA"/>
    </w:rPr>
  </w:style>
  <w:style w:type="paragraph" w:customStyle="1" w:styleId="Titre5">
    <w:name w:val="Titre5"/>
    <w:basedOn w:val="Normal"/>
    <w:qFormat/>
    <w:pPr>
      <w:keepNext/>
      <w:spacing w:before="240" w:after="120"/>
      <w:textAlignment w:val="baseline"/>
    </w:pPr>
    <w:rPr>
      <w:rFonts w:ascii="Liberation Sans" w:eastAsia="Helvetica Linotype" w:hAnsi="Liberation Sans"/>
      <w:color w:val="000000"/>
      <w:sz w:val="28"/>
      <w:lang w:eastAsia="ar-SA"/>
    </w:rPr>
  </w:style>
  <w:style w:type="paragraph" w:customStyle="1" w:styleId="Titre4">
    <w:name w:val="Titre4"/>
    <w:basedOn w:val="Normal"/>
    <w:qFormat/>
    <w:pPr>
      <w:keepNext/>
      <w:spacing w:before="240" w:after="120"/>
      <w:textAlignment w:val="baseline"/>
    </w:pPr>
    <w:rPr>
      <w:rFonts w:ascii="Liberation Sans" w:eastAsia="Helvetica Linotype" w:hAnsi="Liberation Sans"/>
      <w:color w:val="000000"/>
      <w:sz w:val="28"/>
      <w:lang w:eastAsia="ar-SA"/>
    </w:rPr>
  </w:style>
  <w:style w:type="paragraph" w:customStyle="1" w:styleId="Titre30">
    <w:name w:val="Titre3"/>
    <w:basedOn w:val="Normal"/>
    <w:qFormat/>
    <w:pPr>
      <w:keepNext/>
      <w:spacing w:before="240" w:after="120"/>
      <w:textAlignment w:val="baseline"/>
    </w:pPr>
    <w:rPr>
      <w:rFonts w:ascii="Liberation Sans" w:eastAsia="Helvetica Linotype" w:hAnsi="Liberation Sans"/>
      <w:color w:val="000000"/>
      <w:sz w:val="28"/>
      <w:lang w:eastAsia="ar-SA"/>
    </w:rPr>
  </w:style>
  <w:style w:type="paragraph" w:customStyle="1" w:styleId="Titre20">
    <w:name w:val="Titre2"/>
    <w:basedOn w:val="Normal"/>
    <w:qFormat/>
    <w:pPr>
      <w:keepNext/>
      <w:spacing w:before="240" w:after="120"/>
      <w:textAlignment w:val="baseline"/>
    </w:pPr>
    <w:rPr>
      <w:rFonts w:ascii="Liberation Sans" w:eastAsia="Helvetica Linotype" w:hAnsi="Liberation Sans"/>
      <w:color w:val="000000"/>
      <w:sz w:val="28"/>
      <w:lang w:eastAsia="ar-SA"/>
    </w:rPr>
  </w:style>
  <w:style w:type="paragraph" w:customStyle="1" w:styleId="Titre10">
    <w:name w:val="Titre1"/>
    <w:basedOn w:val="Normal"/>
    <w:qFormat/>
    <w:pPr>
      <w:keepNext/>
      <w:spacing w:before="240" w:after="120"/>
      <w:textAlignment w:val="baseline"/>
    </w:pPr>
    <w:rPr>
      <w:rFonts w:ascii="Liberation Sans" w:eastAsia="Helvetica Linotype" w:hAnsi="Liberation Sans"/>
      <w:color w:val="000000"/>
      <w:sz w:val="28"/>
      <w:lang w:eastAsia="ar-SA"/>
    </w:rPr>
  </w:style>
  <w:style w:type="paragraph" w:customStyle="1" w:styleId="TableauInvisible">
    <w:name w:val="TableauInvisible"/>
    <w:basedOn w:val="Normal"/>
    <w:qFormat/>
    <w:pPr>
      <w:spacing w:line="240" w:lineRule="atLeast"/>
      <w:textAlignment w:val="baseline"/>
    </w:pPr>
    <w:rPr>
      <w:rFonts w:ascii="Optimum" w:eastAsia="Helvetica Linotype" w:hAnsi="Optimum"/>
      <w:vanish/>
      <w:color w:val="008080"/>
      <w:sz w:val="12"/>
      <w:lang w:eastAsia="ar-SA"/>
    </w:rPr>
  </w:style>
  <w:style w:type="paragraph" w:customStyle="1" w:styleId="Retraitcorpsdetexte21">
    <w:name w:val="Retrait corps de texte 21"/>
    <w:basedOn w:val="Normal"/>
    <w:qFormat/>
    <w:pPr>
      <w:tabs>
        <w:tab w:val="left" w:pos="2119"/>
      </w:tabs>
      <w:ind w:left="705" w:hanging="705"/>
      <w:textAlignment w:val="baseline"/>
    </w:pPr>
    <w:rPr>
      <w:rFonts w:ascii="Garamond" w:eastAsia="Helvetica Linotype" w:hAnsi="Garamond"/>
      <w:color w:val="000000"/>
      <w:lang w:eastAsia="ar-SA"/>
    </w:rPr>
  </w:style>
  <w:style w:type="paragraph" w:customStyle="1" w:styleId="Retraitcorpsdetexte31">
    <w:name w:val="Retrait corps de texte 31"/>
    <w:basedOn w:val="Normal"/>
    <w:qFormat/>
    <w:pPr>
      <w:tabs>
        <w:tab w:val="left" w:pos="2125"/>
      </w:tabs>
      <w:ind w:left="708" w:hanging="708"/>
      <w:textAlignment w:val="baseline"/>
    </w:pPr>
    <w:rPr>
      <w:rFonts w:ascii="Garamond" w:eastAsia="Helvetica Linotype" w:hAnsi="Garamond"/>
      <w:color w:val="000000"/>
      <w:lang w:eastAsia="ar-SA"/>
    </w:rPr>
  </w:style>
  <w:style w:type="paragraph" w:customStyle="1" w:styleId="Corpsdetexte31">
    <w:name w:val="Corps de texte 31"/>
    <w:basedOn w:val="Normal"/>
    <w:qFormat/>
    <w:pPr>
      <w:tabs>
        <w:tab w:val="left" w:pos="709"/>
      </w:tabs>
      <w:textAlignment w:val="baseline"/>
    </w:pPr>
    <w:rPr>
      <w:rFonts w:ascii="Garamond" w:eastAsia="Helvetica Linotype" w:hAnsi="Garamond"/>
      <w:color w:val="000000"/>
      <w:lang w:eastAsia="ar-SA"/>
    </w:rPr>
  </w:style>
  <w:style w:type="paragraph" w:customStyle="1" w:styleId="Corpsdetexte21">
    <w:name w:val="Corps de texte 21"/>
    <w:basedOn w:val="Normal"/>
    <w:qFormat/>
    <w:pPr>
      <w:spacing w:line="240" w:lineRule="exact"/>
      <w:textAlignment w:val="baseline"/>
    </w:pPr>
    <w:rPr>
      <w:rFonts w:ascii="Arial" w:eastAsia="Helvetica Linotype" w:hAnsi="Arial"/>
      <w:color w:val="000000"/>
      <w:sz w:val="20"/>
      <w:lang w:eastAsia="ar-SA"/>
    </w:rPr>
  </w:style>
  <w:style w:type="paragraph" w:customStyle="1" w:styleId="Vu">
    <w:name w:val="Vu"/>
    <w:basedOn w:val="Normal"/>
    <w:qFormat/>
    <w:pPr>
      <w:spacing w:after="120"/>
      <w:ind w:left="1418" w:right="1134" w:hanging="425"/>
      <w:textAlignment w:val="baseline"/>
    </w:pPr>
    <w:rPr>
      <w:rFonts w:ascii="CG Times (W1)" w:eastAsia="Helvetica Linotype" w:hAnsi="CG Times (W1)"/>
      <w:color w:val="000000"/>
      <w:lang w:eastAsia="ar-SA"/>
    </w:rPr>
  </w:style>
  <w:style w:type="paragraph" w:customStyle="1" w:styleId="textearticle">
    <w:name w:val="texte_article"/>
    <w:basedOn w:val="Normal"/>
    <w:qFormat/>
    <w:pPr>
      <w:spacing w:before="120" w:after="120"/>
      <w:ind w:left="1134" w:right="731"/>
      <w:textAlignment w:val="baseline"/>
    </w:pPr>
    <w:rPr>
      <w:rFonts w:ascii="CG Times (WN)" w:eastAsia="Helvetica Linotype" w:hAnsi="CG Times (WN)"/>
      <w:color w:val="000000"/>
      <w:lang w:eastAsia="ar-SA"/>
    </w:rPr>
  </w:style>
  <w:style w:type="paragraph" w:customStyle="1" w:styleId="titreformulaire">
    <w:name w:val="titre formulaire"/>
    <w:basedOn w:val="Titre7"/>
    <w:qFormat/>
    <w:pPr>
      <w:tabs>
        <w:tab w:val="left" w:pos="0"/>
      </w:tabs>
      <w:spacing w:line="240" w:lineRule="exact"/>
      <w:textAlignment w:val="baseline"/>
    </w:pPr>
    <w:rPr>
      <w:rFonts w:ascii="Tahoma" w:eastAsia="Tahoma" w:hAnsi="Tahoma"/>
      <w:b/>
      <w:color w:val="FFFFFF"/>
      <w:sz w:val="20"/>
      <w:lang w:eastAsia="ar-SA"/>
    </w:rPr>
  </w:style>
  <w:style w:type="paragraph" w:customStyle="1" w:styleId="Lgende3">
    <w:name w:val="Légende3"/>
    <w:basedOn w:val="Normal"/>
    <w:qFormat/>
    <w:pPr>
      <w:spacing w:before="120" w:after="120"/>
      <w:textAlignment w:val="baseline"/>
    </w:pPr>
    <w:rPr>
      <w:rFonts w:ascii="Liberation Sans" w:eastAsia="Helvetica Linotype" w:hAnsi="Liberation Sans"/>
      <w:i/>
      <w:color w:val="000000"/>
      <w:sz w:val="24"/>
      <w:lang w:eastAsia="ar-SA"/>
    </w:rPr>
  </w:style>
  <w:style w:type="paragraph" w:customStyle="1" w:styleId="tiret1erniveau">
    <w:name w:val="tiret1erniveau"/>
    <w:basedOn w:val="Normal"/>
    <w:qFormat/>
    <w:pPr>
      <w:spacing w:before="120" w:after="0"/>
      <w:ind w:left="142" w:hanging="142"/>
      <w:textAlignment w:val="baseline"/>
    </w:pPr>
    <w:rPr>
      <w:rFonts w:ascii="Arial" w:eastAsia="Helvetica Linotype" w:hAnsi="Arial"/>
      <w:color w:val="000000"/>
      <w:sz w:val="20"/>
      <w:lang w:eastAsia="ar-SA"/>
    </w:rPr>
  </w:style>
  <w:style w:type="paragraph" w:customStyle="1" w:styleId="tiret2meniveau">
    <w:name w:val="tiret2ème niveau"/>
    <w:qFormat/>
    <w:pPr>
      <w:suppressAutoHyphens/>
      <w:spacing w:before="120"/>
      <w:ind w:left="567" w:hanging="142"/>
    </w:pPr>
    <w:rPr>
      <w:rFonts w:ascii="Arial" w:eastAsia="Liberation Serif" w:hAnsi="Arial" w:cs="Liberation Serif"/>
      <w:color w:val="000000"/>
      <w:szCs w:val="24"/>
      <w:lang w:eastAsia="hi-IN"/>
    </w:rPr>
  </w:style>
  <w:style w:type="paragraph" w:customStyle="1" w:styleId="tiret3meniveau">
    <w:name w:val="tiret3ème niveau"/>
    <w:qFormat/>
    <w:pPr>
      <w:suppressAutoHyphens/>
      <w:spacing w:before="120"/>
      <w:ind w:left="567" w:hanging="142"/>
    </w:pPr>
    <w:rPr>
      <w:rFonts w:ascii="Arial" w:eastAsia="Liberation Serif" w:hAnsi="Arial" w:cs="Liberation Serif"/>
      <w:color w:val="000000"/>
      <w:szCs w:val="24"/>
      <w:lang w:eastAsia="hi-IN"/>
    </w:rPr>
  </w:style>
  <w:style w:type="paragraph" w:styleId="NormalWeb">
    <w:name w:val="Normal (Web)"/>
    <w:basedOn w:val="Normal"/>
    <w:qFormat/>
    <w:pPr>
      <w:spacing w:before="280" w:after="119"/>
      <w:textAlignment w:val="baseline"/>
    </w:pPr>
    <w:rPr>
      <w:rFonts w:ascii="Arial Unicode MS" w:eastAsia="Helvetica Linotype" w:hAnsi="Arial Unicode MS"/>
      <w:color w:val="000000"/>
      <w:sz w:val="24"/>
      <w:lang w:eastAsia="ar-SA"/>
    </w:rPr>
  </w:style>
  <w:style w:type="paragraph" w:customStyle="1" w:styleId="texte">
    <w:name w:val="texte"/>
    <w:basedOn w:val="Normal"/>
    <w:qFormat/>
    <w:pPr>
      <w:spacing w:before="120" w:after="0"/>
      <w:textAlignment w:val="baseline"/>
    </w:pPr>
    <w:rPr>
      <w:rFonts w:ascii="Arial" w:eastAsia="Helvetica Linotype" w:hAnsi="Arial"/>
      <w:color w:val="000000"/>
      <w:sz w:val="20"/>
      <w:lang w:eastAsia="ar-SA"/>
    </w:rPr>
  </w:style>
  <w:style w:type="paragraph" w:customStyle="1" w:styleId="italiqueformulaire">
    <w:name w:val="italique formulaire"/>
    <w:qFormat/>
    <w:pPr>
      <w:suppressAutoHyphens/>
      <w:spacing w:after="200"/>
    </w:pPr>
    <w:rPr>
      <w:rFonts w:ascii="Tahoma" w:eastAsia="Liberation Serif" w:hAnsi="Tahoma" w:cs="Liberation Serif"/>
      <w:i/>
      <w:color w:val="000000"/>
      <w:sz w:val="14"/>
      <w:szCs w:val="24"/>
      <w:lang w:eastAsia="hi-IN"/>
    </w:rPr>
  </w:style>
  <w:style w:type="paragraph" w:customStyle="1" w:styleId="Lgende1">
    <w:name w:val="Légende1"/>
    <w:basedOn w:val="Normal"/>
    <w:qFormat/>
    <w:pPr>
      <w:spacing w:before="120" w:after="120"/>
      <w:textAlignment w:val="baseline"/>
    </w:pPr>
    <w:rPr>
      <w:rFonts w:ascii="Liberation Sans" w:eastAsia="Helvetica Linotype" w:hAnsi="Liberation Sans"/>
      <w:i/>
      <w:color w:val="000000"/>
      <w:sz w:val="24"/>
      <w:lang w:eastAsia="ar-SA"/>
    </w:rPr>
  </w:style>
  <w:style w:type="paragraph" w:customStyle="1" w:styleId="Lgende2">
    <w:name w:val="Légende2"/>
    <w:basedOn w:val="Normal"/>
    <w:qFormat/>
    <w:pPr>
      <w:spacing w:before="120" w:after="120"/>
      <w:textAlignment w:val="baseline"/>
    </w:pPr>
    <w:rPr>
      <w:rFonts w:ascii="Liberation Sans" w:eastAsia="Helvetica Linotype" w:hAnsi="Liberation Sans"/>
      <w:i/>
      <w:color w:val="000000"/>
      <w:sz w:val="24"/>
      <w:lang w:eastAsia="ar-SA"/>
    </w:rPr>
  </w:style>
  <w:style w:type="paragraph" w:customStyle="1" w:styleId="Sansnom1">
    <w:name w:val="Sans nom1"/>
    <w:qFormat/>
    <w:pPr>
      <w:keepNext/>
      <w:suppressAutoHyphens/>
      <w:spacing w:before="240" w:after="120"/>
    </w:pPr>
    <w:rPr>
      <w:rFonts w:ascii="Liberation Sans" w:eastAsia="Mangal" w:hAnsi="Liberation Sans" w:cs="Liberation Serif"/>
      <w:color w:val="000000"/>
      <w:sz w:val="28"/>
      <w:szCs w:val="24"/>
      <w:lang w:val="en-US" w:eastAsia="hi-IN"/>
    </w:rPr>
  </w:style>
  <w:style w:type="paragraph" w:customStyle="1" w:styleId="Tahoma">
    <w:name w:val="Tahoma"/>
    <w:qFormat/>
    <w:pPr>
      <w:suppressAutoHyphens/>
      <w:spacing w:after="200"/>
      <w:textAlignment w:val="baseline"/>
    </w:pPr>
    <w:rPr>
      <w:rFonts w:ascii="Helvetica Linotype" w:eastAsia="Helvetica Linotype" w:hAnsi="Helvetica Linotype"/>
      <w:color w:val="000000"/>
      <w:sz w:val="24"/>
      <w:lang w:eastAsia="ar-SA"/>
    </w:rPr>
  </w:style>
  <w:style w:type="paragraph" w:customStyle="1" w:styleId="Default">
    <w:name w:val="Default"/>
    <w:qFormat/>
    <w:pPr>
      <w:widowControl w:val="0"/>
      <w:suppressAutoHyphens/>
      <w:spacing w:after="200"/>
    </w:pPr>
    <w:rPr>
      <w:rFonts w:ascii="EUAlbertina" w:eastAsia="Mangal" w:hAnsi="EUAlbertina" w:cs="Liberation Serif"/>
      <w:color w:val="000000"/>
      <w:sz w:val="24"/>
      <w:szCs w:val="24"/>
      <w:lang w:eastAsia="hi-IN"/>
    </w:rPr>
  </w:style>
  <w:style w:type="paragraph" w:customStyle="1" w:styleId="CM4">
    <w:name w:val="CM4"/>
    <w:basedOn w:val="Normal"/>
    <w:qFormat/>
    <w:pPr>
      <w:textAlignment w:val="baseline"/>
    </w:pPr>
    <w:rPr>
      <w:rFonts w:ascii="Liberation Sans" w:eastAsia="Tahoma" w:hAnsi="Liberation Sans"/>
      <w:sz w:val="24"/>
      <w:lang w:eastAsia="ar-SA"/>
    </w:rPr>
  </w:style>
  <w:style w:type="paragraph" w:customStyle="1" w:styleId="CM3">
    <w:name w:val="CM3"/>
    <w:basedOn w:val="Normal"/>
    <w:qFormat/>
    <w:pPr>
      <w:textAlignment w:val="baseline"/>
    </w:pPr>
    <w:rPr>
      <w:rFonts w:ascii="Liberation Sans" w:eastAsia="Tahoma" w:hAnsi="Liberation Sans"/>
      <w:sz w:val="24"/>
      <w:lang w:eastAsia="ar-SA"/>
    </w:rPr>
  </w:style>
  <w:style w:type="paragraph" w:customStyle="1" w:styleId="CM1">
    <w:name w:val="CM1"/>
    <w:basedOn w:val="Normal"/>
    <w:qFormat/>
    <w:pPr>
      <w:textAlignment w:val="baseline"/>
    </w:pPr>
    <w:rPr>
      <w:rFonts w:ascii="Liberation Sans" w:eastAsia="Tahoma" w:hAnsi="Liberation Sans"/>
      <w:sz w:val="24"/>
      <w:lang w:eastAsia="ar-SA"/>
    </w:rPr>
  </w:style>
  <w:style w:type="paragraph" w:customStyle="1" w:styleId="normalformulaire">
    <w:name w:val="normal formulaire"/>
    <w:basedOn w:val="Normal"/>
    <w:qFormat/>
    <w:pPr>
      <w:textAlignment w:val="baseline"/>
    </w:pPr>
    <w:rPr>
      <w:rFonts w:ascii="Tahoma" w:eastAsia="Tahoma" w:hAnsi="Tahoma"/>
      <w:color w:val="000000"/>
      <w:sz w:val="16"/>
      <w:lang w:eastAsia="ar-SA"/>
    </w:rPr>
  </w:style>
  <w:style w:type="paragraph" w:customStyle="1" w:styleId="puce">
    <w:name w:val="puce"/>
    <w:qFormat/>
    <w:pPr>
      <w:tabs>
        <w:tab w:val="left" w:pos="0"/>
      </w:tabs>
      <w:suppressAutoHyphens/>
      <w:spacing w:after="200"/>
      <w:textAlignment w:val="baseline"/>
    </w:pPr>
    <w:rPr>
      <w:rFonts w:ascii="Arial" w:eastAsia="Arial" w:hAnsi="Arial" w:cs="Liberation Serif"/>
      <w:color w:val="00000A"/>
      <w:sz w:val="22"/>
      <w:szCs w:val="24"/>
      <w:lang w:eastAsia="ar-SA"/>
    </w:rPr>
  </w:style>
  <w:style w:type="paragraph" w:customStyle="1" w:styleId="Paysagelargi">
    <w:name w:val="Paysage élargi"/>
    <w:basedOn w:val="Normal"/>
    <w:qFormat/>
    <w:pPr>
      <w:textAlignment w:val="baseline"/>
    </w:pPr>
    <w:rPr>
      <w:rFonts w:ascii="Tahoma" w:eastAsia="Arial" w:hAnsi="Tahoma"/>
      <w:b/>
      <w:color w:val="000000"/>
      <w:sz w:val="20"/>
      <w:u w:val="single"/>
      <w:lang w:eastAsia="ar-SA"/>
    </w:rPr>
  </w:style>
  <w:style w:type="paragraph" w:customStyle="1" w:styleId="InfoRfrence">
    <w:name w:val="InfoRéférence"/>
    <w:qFormat/>
    <w:pPr>
      <w:tabs>
        <w:tab w:val="left" w:pos="1560"/>
        <w:tab w:val="left" w:pos="2410"/>
        <w:tab w:val="left" w:pos="3402"/>
      </w:tabs>
      <w:suppressAutoHyphens/>
      <w:spacing w:before="40"/>
      <w:textAlignment w:val="baseline"/>
    </w:pPr>
    <w:rPr>
      <w:rFonts w:ascii="Helvetica Linotype" w:eastAsia="Helvetica Linotype" w:hAnsi="Helvetica Linotype"/>
      <w:color w:val="000000"/>
      <w:sz w:val="18"/>
      <w:lang w:eastAsia="ar-SA"/>
    </w:rPr>
  </w:style>
  <w:style w:type="paragraph" w:customStyle="1" w:styleId="Courant">
    <w:name w:val="Courant"/>
    <w:basedOn w:val="Normal"/>
    <w:qFormat/>
    <w:pPr>
      <w:spacing w:before="120" w:after="0"/>
      <w:textAlignment w:val="baseline"/>
    </w:pPr>
    <w:rPr>
      <w:rFonts w:ascii="Helvetica Linotype" w:eastAsia="Helvetica Linotype" w:hAnsi="Helvetica Linotype"/>
      <w:color w:val="000000"/>
      <w:sz w:val="20"/>
      <w:lang w:eastAsia="ar-SA"/>
    </w:rPr>
  </w:style>
  <w:style w:type="paragraph" w:customStyle="1" w:styleId="Rpertoire">
    <w:name w:val="Répertoire"/>
    <w:basedOn w:val="Normal"/>
    <w:qFormat/>
    <w:pPr>
      <w:textAlignment w:val="baseline"/>
    </w:pPr>
    <w:rPr>
      <w:rFonts w:ascii="Helvetica Linotype" w:eastAsia="Tahoma" w:hAnsi="Helvetica Linotype"/>
      <w:color w:val="000000"/>
      <w:sz w:val="24"/>
      <w:lang w:eastAsia="ar-SA"/>
    </w:rPr>
  </w:style>
  <w:style w:type="paragraph" w:customStyle="1" w:styleId="Contenudetableau">
    <w:name w:val="Contenu de tableau"/>
    <w:basedOn w:val="Normal"/>
    <w:qFormat/>
    <w:pPr>
      <w:suppressLineNumbers/>
    </w:pPr>
  </w:style>
  <w:style w:type="table" w:styleId="Grilledutableau">
    <w:name w:val="Table Grid"/>
    <w:basedOn w:val="TableauNormal"/>
    <w:uiPriority w:val="59"/>
    <w:rsid w:val="00AE40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16E3E"/>
    <w:pPr>
      <w:suppressAutoHyphens w:val="0"/>
      <w:spacing w:before="100" w:beforeAutospacing="1" w:after="0" w:line="240" w:lineRule="auto"/>
      <w:ind w:left="1418"/>
      <w:jc w:val="both"/>
    </w:pPr>
    <w:rPr>
      <w:rFonts w:ascii="Times" w:eastAsia="Times New Roman" w:hAnsi="Times" w:cs="Times New Roman"/>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31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7ACB-DC9C-429C-9400-63D57F0B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2509</Words>
  <Characters>13803</Characters>
  <Application>Microsoft Office Word</Application>
  <DocSecurity>0</DocSecurity>
  <Lines>115</Lines>
  <Paragraphs>32</Paragraphs>
  <ScaleCrop>false</ScaleCrop>
  <Company>ASP</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Bourtembourg Magali</dc:creator>
  <cp:lastModifiedBy>Lina VASQUEZ</cp:lastModifiedBy>
  <cp:revision>32</cp:revision>
  <cp:lastPrinted>2015-07-08T09:48:00Z</cp:lastPrinted>
  <dcterms:created xsi:type="dcterms:W3CDTF">2018-12-28T10:14:00Z</dcterms:created>
  <dcterms:modified xsi:type="dcterms:W3CDTF">2022-07-20T15:43:00Z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ASP</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