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295" w:rsidRPr="004B0590" w:rsidRDefault="00790295" w:rsidP="00110F5B">
      <w:pPr>
        <w:rPr>
          <w:rFonts w:ascii="Times New Roman" w:hAnsi="Times New Roman" w:cs="Times New Roman"/>
          <w:b/>
        </w:rPr>
      </w:pPr>
    </w:p>
    <w:tbl>
      <w:tblPr>
        <w:tblStyle w:val="Grilledutableau"/>
        <w:tblW w:w="9062" w:type="dxa"/>
        <w:tblLook w:val="04A0" w:firstRow="1" w:lastRow="0" w:firstColumn="1" w:lastColumn="0" w:noHBand="0" w:noVBand="1"/>
      </w:tblPr>
      <w:tblGrid>
        <w:gridCol w:w="9062"/>
      </w:tblGrid>
      <w:tr w:rsidR="00790295" w:rsidRPr="004B0590">
        <w:tc>
          <w:tcPr>
            <w:tcW w:w="9062" w:type="dxa"/>
            <w:shd w:val="clear" w:color="auto" w:fill="auto"/>
            <w:tcMar>
              <w:left w:w="108" w:type="dxa"/>
            </w:tcMar>
          </w:tcPr>
          <w:p w:rsidR="00790295" w:rsidRPr="004B0590" w:rsidRDefault="00790295" w:rsidP="00110F5B">
            <w:pPr>
              <w:spacing w:after="0" w:line="276" w:lineRule="auto"/>
              <w:rPr>
                <w:rFonts w:ascii="Times New Roman" w:hAnsi="Times New Roman" w:cs="Times New Roman"/>
              </w:rPr>
            </w:pPr>
          </w:p>
          <w:p w:rsidR="00790295" w:rsidRPr="004B0590" w:rsidRDefault="00913139" w:rsidP="00110F5B">
            <w:pPr>
              <w:spacing w:after="0" w:line="276" w:lineRule="auto"/>
              <w:jc w:val="center"/>
              <w:rPr>
                <w:rFonts w:ascii="Times New Roman" w:hAnsi="Times New Roman" w:cs="Times New Roman"/>
                <w:b/>
              </w:rPr>
            </w:pPr>
            <w:r w:rsidRPr="004B0590">
              <w:rPr>
                <w:rFonts w:ascii="Times New Roman" w:hAnsi="Times New Roman" w:cs="Times New Roman"/>
                <w:b/>
              </w:rPr>
              <w:t>Participation du public – Motifs de la décision</w:t>
            </w:r>
          </w:p>
          <w:p w:rsidR="00790295" w:rsidRPr="004B0590" w:rsidRDefault="00790295" w:rsidP="00110F5B">
            <w:pPr>
              <w:spacing w:after="0" w:line="276" w:lineRule="auto"/>
              <w:jc w:val="center"/>
              <w:rPr>
                <w:rFonts w:ascii="Times New Roman" w:hAnsi="Times New Roman" w:cs="Times New Roman"/>
                <w:b/>
              </w:rPr>
            </w:pPr>
          </w:p>
        </w:tc>
      </w:tr>
    </w:tbl>
    <w:p w:rsidR="00790295" w:rsidRPr="004B0590" w:rsidRDefault="00790295" w:rsidP="00110F5B">
      <w:pPr>
        <w:spacing w:line="276" w:lineRule="auto"/>
        <w:rPr>
          <w:rFonts w:ascii="Times New Roman" w:hAnsi="Times New Roman" w:cs="Times New Roman"/>
          <w:b/>
        </w:rPr>
      </w:pPr>
    </w:p>
    <w:tbl>
      <w:tblPr>
        <w:tblStyle w:val="Grilledutableau"/>
        <w:tblW w:w="9062" w:type="dxa"/>
        <w:tblLook w:val="04A0" w:firstRow="1" w:lastRow="0" w:firstColumn="1" w:lastColumn="0" w:noHBand="0" w:noVBand="1"/>
      </w:tblPr>
      <w:tblGrid>
        <w:gridCol w:w="9062"/>
      </w:tblGrid>
      <w:tr w:rsidR="00790295" w:rsidRPr="004B0590">
        <w:trPr>
          <w:trHeight w:val="892"/>
        </w:trPr>
        <w:tc>
          <w:tcPr>
            <w:tcW w:w="9062" w:type="dxa"/>
            <w:shd w:val="clear" w:color="auto" w:fill="auto"/>
            <w:tcMar>
              <w:left w:w="108" w:type="dxa"/>
            </w:tcMar>
          </w:tcPr>
          <w:p w:rsidR="00790295" w:rsidRPr="004B0590" w:rsidRDefault="00790295" w:rsidP="00110F5B">
            <w:pPr>
              <w:pStyle w:val="western"/>
              <w:spacing w:before="280" w:after="0" w:line="276" w:lineRule="auto"/>
              <w:jc w:val="center"/>
              <w:rPr>
                <w:b/>
                <w:bCs/>
              </w:rPr>
            </w:pPr>
          </w:p>
          <w:p w:rsidR="000209E9" w:rsidRPr="004B0590" w:rsidRDefault="000209E9" w:rsidP="000209E9">
            <w:pPr>
              <w:suppressAutoHyphens w:val="0"/>
              <w:autoSpaceDE w:val="0"/>
              <w:autoSpaceDN w:val="0"/>
              <w:adjustRightInd w:val="0"/>
              <w:spacing w:after="0"/>
              <w:jc w:val="both"/>
              <w:rPr>
                <w:rFonts w:ascii="Times New Roman" w:hAnsi="Times New Roman" w:cs="Times New Roman"/>
                <w:b/>
                <w:bCs/>
                <w:color w:val="000000" w:themeColor="text1"/>
                <w:sz w:val="24"/>
                <w:szCs w:val="24"/>
              </w:rPr>
            </w:pPr>
            <w:r w:rsidRPr="004B0590">
              <w:rPr>
                <w:rFonts w:ascii="Times New Roman" w:hAnsi="Times New Roman" w:cs="Times New Roman"/>
                <w:b/>
                <w:bCs/>
                <w:color w:val="000000" w:themeColor="text1"/>
                <w:sz w:val="24"/>
                <w:szCs w:val="24"/>
              </w:rPr>
              <w:t xml:space="preserve">Projet d'arrêté approuvant deux cahiers des charges pour la mise sur le marché et l’utilisation de </w:t>
            </w:r>
            <w:proofErr w:type="spellStart"/>
            <w:r w:rsidRPr="004B0590">
              <w:rPr>
                <w:rFonts w:ascii="Times New Roman" w:hAnsi="Times New Roman" w:cs="Times New Roman"/>
                <w:b/>
                <w:bCs/>
                <w:color w:val="000000" w:themeColor="text1"/>
                <w:sz w:val="24"/>
                <w:szCs w:val="24"/>
              </w:rPr>
              <w:t>digestats</w:t>
            </w:r>
            <w:proofErr w:type="spellEnd"/>
            <w:r w:rsidRPr="004B0590">
              <w:rPr>
                <w:rFonts w:ascii="Times New Roman" w:hAnsi="Times New Roman" w:cs="Times New Roman"/>
                <w:b/>
                <w:bCs/>
                <w:color w:val="000000" w:themeColor="text1"/>
                <w:sz w:val="24"/>
                <w:szCs w:val="24"/>
              </w:rPr>
              <w:t xml:space="preserve"> de méthanisation agricole en tant que matières fertilisantes</w:t>
            </w:r>
          </w:p>
          <w:p w:rsidR="000209E9" w:rsidRPr="004B0590" w:rsidRDefault="000209E9" w:rsidP="000209E9">
            <w:pPr>
              <w:pStyle w:val="western"/>
              <w:spacing w:before="280" w:after="0"/>
              <w:jc w:val="center"/>
              <w:rPr>
                <w:color w:val="000000" w:themeColor="text1"/>
              </w:rPr>
            </w:pPr>
            <w:r w:rsidRPr="004B0590">
              <w:rPr>
                <w:b/>
                <w:bCs/>
                <w:color w:val="000000" w:themeColor="text1"/>
              </w:rPr>
              <w:t>Soumis à participation du public du 15 mai au 6 juin 2019 sur le site du Ministère de l’agriculture et de l’alimentation</w:t>
            </w:r>
          </w:p>
          <w:p w:rsidR="00790295" w:rsidRPr="004B0590" w:rsidRDefault="00790295" w:rsidP="00110F5B">
            <w:pPr>
              <w:spacing w:after="0" w:line="276" w:lineRule="auto"/>
              <w:jc w:val="center"/>
              <w:rPr>
                <w:rFonts w:ascii="Times New Roman" w:hAnsi="Times New Roman" w:cs="Times New Roman"/>
                <w:b/>
              </w:rPr>
            </w:pPr>
          </w:p>
        </w:tc>
      </w:tr>
    </w:tbl>
    <w:p w:rsidR="00790295" w:rsidRPr="004B0590" w:rsidRDefault="00790295" w:rsidP="00110F5B">
      <w:pPr>
        <w:spacing w:line="276" w:lineRule="auto"/>
        <w:jc w:val="center"/>
        <w:rPr>
          <w:rFonts w:ascii="Times New Roman" w:hAnsi="Times New Roman" w:cs="Times New Roman"/>
          <w:b/>
        </w:rPr>
      </w:pPr>
    </w:p>
    <w:p w:rsidR="00790295" w:rsidRPr="004B0590" w:rsidRDefault="00913139" w:rsidP="00110F5B">
      <w:pPr>
        <w:spacing w:line="276" w:lineRule="auto"/>
        <w:rPr>
          <w:rFonts w:ascii="Times New Roman" w:hAnsi="Times New Roman" w:cs="Times New Roman"/>
          <w:b/>
          <w:u w:val="single"/>
        </w:rPr>
      </w:pPr>
      <w:r w:rsidRPr="004B0590">
        <w:rPr>
          <w:rFonts w:ascii="Times New Roman" w:hAnsi="Times New Roman" w:cs="Times New Roman"/>
          <w:b/>
          <w:u w:val="single"/>
        </w:rPr>
        <w:t xml:space="preserve">Objet : </w:t>
      </w:r>
    </w:p>
    <w:p w:rsidR="000209E9" w:rsidRPr="004B0590" w:rsidRDefault="000209E9" w:rsidP="000209E9">
      <w:pPr>
        <w:spacing w:after="0" w:line="276" w:lineRule="auto"/>
        <w:jc w:val="both"/>
        <w:rPr>
          <w:rFonts w:ascii="Times New Roman" w:hAnsi="Times New Roman" w:cs="Times New Roman"/>
          <w:bCs/>
          <w:color w:val="000000" w:themeColor="text1"/>
          <w:sz w:val="24"/>
          <w:szCs w:val="24"/>
        </w:rPr>
      </w:pPr>
      <w:r w:rsidRPr="004B0590">
        <w:rPr>
          <w:rFonts w:ascii="Times New Roman" w:hAnsi="Times New Roman" w:cs="Times New Roman"/>
          <w:color w:val="000000" w:themeColor="text1"/>
          <w:sz w:val="24"/>
          <w:szCs w:val="24"/>
        </w:rPr>
        <w:t xml:space="preserve">Ce document retranscrit les observations </w:t>
      </w:r>
      <w:r w:rsidR="0093022C" w:rsidRPr="004B0590">
        <w:rPr>
          <w:rFonts w:ascii="Times New Roman" w:hAnsi="Times New Roman" w:cs="Times New Roman"/>
          <w:color w:val="000000" w:themeColor="text1"/>
          <w:sz w:val="24"/>
          <w:szCs w:val="24"/>
        </w:rPr>
        <w:t>reçues</w:t>
      </w:r>
      <w:r w:rsidRPr="004B0590">
        <w:rPr>
          <w:rFonts w:ascii="Times New Roman" w:hAnsi="Times New Roman" w:cs="Times New Roman"/>
          <w:color w:val="000000" w:themeColor="text1"/>
          <w:sz w:val="24"/>
          <w:szCs w:val="24"/>
        </w:rPr>
        <w:t xml:space="preserve"> lors de la consultation du public réalisée du 15 mai au 6 juin 2019 en application de l’article L.123-19-1 du code de l’environnement sur le projet d’arrêté </w:t>
      </w:r>
      <w:r w:rsidRPr="004B0590">
        <w:rPr>
          <w:rFonts w:ascii="Times New Roman" w:hAnsi="Times New Roman" w:cs="Times New Roman"/>
          <w:bCs/>
          <w:color w:val="000000" w:themeColor="text1"/>
          <w:sz w:val="24"/>
          <w:szCs w:val="24"/>
        </w:rPr>
        <w:t xml:space="preserve">approuvant deux cahiers des charges pour la mise sur le marché et l’utilisation de </w:t>
      </w:r>
      <w:proofErr w:type="spellStart"/>
      <w:r w:rsidRPr="004B0590">
        <w:rPr>
          <w:rFonts w:ascii="Times New Roman" w:hAnsi="Times New Roman" w:cs="Times New Roman"/>
          <w:bCs/>
          <w:color w:val="000000" w:themeColor="text1"/>
          <w:sz w:val="24"/>
          <w:szCs w:val="24"/>
        </w:rPr>
        <w:t>digestats</w:t>
      </w:r>
      <w:proofErr w:type="spellEnd"/>
      <w:r w:rsidRPr="004B0590">
        <w:rPr>
          <w:rFonts w:ascii="Times New Roman" w:hAnsi="Times New Roman" w:cs="Times New Roman"/>
          <w:bCs/>
          <w:color w:val="000000" w:themeColor="text1"/>
          <w:sz w:val="24"/>
          <w:szCs w:val="24"/>
        </w:rPr>
        <w:t xml:space="preserve"> de méthanisation agricoles en tant que matières fertilisantes.</w:t>
      </w:r>
    </w:p>
    <w:p w:rsidR="000209E9" w:rsidRPr="004B0590" w:rsidRDefault="000209E9" w:rsidP="000209E9">
      <w:pPr>
        <w:spacing w:after="0" w:line="276" w:lineRule="auto"/>
        <w:jc w:val="both"/>
        <w:rPr>
          <w:rFonts w:ascii="Times New Roman" w:hAnsi="Times New Roman" w:cs="Times New Roman"/>
          <w:bCs/>
          <w:color w:val="000000" w:themeColor="text1"/>
          <w:sz w:val="24"/>
          <w:szCs w:val="24"/>
        </w:rPr>
      </w:pPr>
    </w:p>
    <w:p w:rsidR="000209E9" w:rsidRPr="004B0590" w:rsidRDefault="000209E9" w:rsidP="000209E9">
      <w:pPr>
        <w:spacing w:after="0" w:line="276" w:lineRule="auto"/>
        <w:jc w:val="both"/>
        <w:rPr>
          <w:rFonts w:ascii="Times New Roman" w:hAnsi="Times New Roman" w:cs="Times New Roman"/>
          <w:bCs/>
          <w:color w:val="000000" w:themeColor="text1"/>
          <w:sz w:val="24"/>
          <w:szCs w:val="24"/>
        </w:rPr>
      </w:pPr>
      <w:r w:rsidRPr="004B0590">
        <w:rPr>
          <w:rFonts w:ascii="Times New Roman" w:hAnsi="Times New Roman" w:cs="Times New Roman"/>
          <w:bCs/>
          <w:color w:val="000000" w:themeColor="text1"/>
          <w:sz w:val="24"/>
          <w:szCs w:val="24"/>
        </w:rPr>
        <w:t xml:space="preserve">Ce projet d’arrêté trouve son fondement au 3° de l’article L.255-5 du code rural et de la pêche maritime. </w:t>
      </w:r>
    </w:p>
    <w:p w:rsidR="00790295" w:rsidRPr="004B0590" w:rsidRDefault="00790295" w:rsidP="00110F5B">
      <w:pPr>
        <w:spacing w:line="276" w:lineRule="auto"/>
        <w:rPr>
          <w:rFonts w:ascii="Times New Roman" w:hAnsi="Times New Roman" w:cs="Times New Roman"/>
          <w:b/>
        </w:rPr>
      </w:pPr>
    </w:p>
    <w:tbl>
      <w:tblPr>
        <w:tblStyle w:val="Grilledutableau"/>
        <w:tblW w:w="9062" w:type="dxa"/>
        <w:tblLook w:val="04A0" w:firstRow="1" w:lastRow="0" w:firstColumn="1" w:lastColumn="0" w:noHBand="0" w:noVBand="1"/>
      </w:tblPr>
      <w:tblGrid>
        <w:gridCol w:w="2220"/>
        <w:gridCol w:w="6842"/>
      </w:tblGrid>
      <w:tr w:rsidR="00790295" w:rsidRPr="004B0590" w:rsidTr="000209E9">
        <w:tc>
          <w:tcPr>
            <w:tcW w:w="2220" w:type="dxa"/>
            <w:shd w:val="clear" w:color="auto" w:fill="auto"/>
            <w:tcMar>
              <w:left w:w="108" w:type="dxa"/>
            </w:tcMar>
          </w:tcPr>
          <w:p w:rsidR="00110F5B" w:rsidRPr="004B0590" w:rsidRDefault="00110F5B" w:rsidP="00110F5B">
            <w:pPr>
              <w:spacing w:after="0" w:line="276" w:lineRule="auto"/>
              <w:jc w:val="center"/>
              <w:rPr>
                <w:rFonts w:ascii="Times New Roman" w:hAnsi="Times New Roman" w:cs="Times New Roman"/>
                <w:b/>
              </w:rPr>
            </w:pPr>
          </w:p>
          <w:p w:rsidR="00790295" w:rsidRPr="004B0590" w:rsidRDefault="00913139" w:rsidP="00110F5B">
            <w:pPr>
              <w:spacing w:after="0" w:line="276" w:lineRule="auto"/>
              <w:jc w:val="center"/>
              <w:rPr>
                <w:rFonts w:ascii="Times New Roman" w:hAnsi="Times New Roman" w:cs="Times New Roman"/>
                <w:b/>
              </w:rPr>
            </w:pPr>
            <w:r w:rsidRPr="004B0590">
              <w:rPr>
                <w:rFonts w:ascii="Times New Roman" w:hAnsi="Times New Roman" w:cs="Times New Roman"/>
                <w:b/>
              </w:rPr>
              <w:t>Sujets abordés dans les observations</w:t>
            </w:r>
          </w:p>
        </w:tc>
        <w:tc>
          <w:tcPr>
            <w:tcW w:w="6842" w:type="dxa"/>
            <w:shd w:val="clear" w:color="auto" w:fill="auto"/>
            <w:tcMar>
              <w:left w:w="108" w:type="dxa"/>
            </w:tcMar>
          </w:tcPr>
          <w:p w:rsidR="00110F5B" w:rsidRPr="004B0590" w:rsidRDefault="00110F5B" w:rsidP="00110F5B">
            <w:pPr>
              <w:spacing w:after="0" w:line="276" w:lineRule="auto"/>
              <w:jc w:val="center"/>
              <w:rPr>
                <w:rFonts w:ascii="Times New Roman" w:hAnsi="Times New Roman" w:cs="Times New Roman"/>
                <w:b/>
              </w:rPr>
            </w:pPr>
          </w:p>
          <w:p w:rsidR="00790295" w:rsidRPr="004B0590" w:rsidRDefault="00913139" w:rsidP="00110F5B">
            <w:pPr>
              <w:spacing w:after="0" w:line="276" w:lineRule="auto"/>
              <w:jc w:val="center"/>
              <w:rPr>
                <w:rFonts w:ascii="Times New Roman" w:hAnsi="Times New Roman" w:cs="Times New Roman"/>
                <w:b/>
              </w:rPr>
            </w:pPr>
            <w:r w:rsidRPr="004B0590">
              <w:rPr>
                <w:rFonts w:ascii="Times New Roman" w:hAnsi="Times New Roman" w:cs="Times New Roman"/>
                <w:b/>
              </w:rPr>
              <w:t>Réponses – Justifications de la décision</w:t>
            </w:r>
          </w:p>
          <w:p w:rsidR="00110F5B" w:rsidRPr="004B0590" w:rsidRDefault="00110F5B" w:rsidP="00110F5B">
            <w:pPr>
              <w:spacing w:after="0" w:line="276" w:lineRule="auto"/>
              <w:jc w:val="center"/>
              <w:rPr>
                <w:rFonts w:ascii="Times New Roman" w:hAnsi="Times New Roman" w:cs="Times New Roman"/>
                <w:b/>
              </w:rPr>
            </w:pPr>
          </w:p>
        </w:tc>
      </w:tr>
      <w:tr w:rsidR="00790295" w:rsidRPr="004B0590" w:rsidTr="000209E9">
        <w:tc>
          <w:tcPr>
            <w:tcW w:w="2220" w:type="dxa"/>
            <w:shd w:val="clear" w:color="auto" w:fill="auto"/>
            <w:tcMar>
              <w:left w:w="108" w:type="dxa"/>
            </w:tcMar>
          </w:tcPr>
          <w:p w:rsidR="00790295" w:rsidRPr="004B0590" w:rsidRDefault="00790295" w:rsidP="00110F5B">
            <w:pPr>
              <w:tabs>
                <w:tab w:val="left" w:pos="1530"/>
              </w:tabs>
              <w:spacing w:after="0" w:line="276" w:lineRule="auto"/>
              <w:jc w:val="center"/>
              <w:rPr>
                <w:rFonts w:ascii="Times New Roman" w:hAnsi="Times New Roman" w:cs="Times New Roman"/>
              </w:rPr>
            </w:pPr>
          </w:p>
          <w:p w:rsidR="00790295" w:rsidRPr="004B0590" w:rsidRDefault="00790295" w:rsidP="00110F5B">
            <w:pPr>
              <w:tabs>
                <w:tab w:val="left" w:pos="1530"/>
              </w:tabs>
              <w:spacing w:after="0" w:line="276" w:lineRule="auto"/>
              <w:jc w:val="center"/>
              <w:rPr>
                <w:rFonts w:ascii="Times New Roman" w:hAnsi="Times New Roman" w:cs="Times New Roman"/>
              </w:rPr>
            </w:pPr>
          </w:p>
          <w:p w:rsidR="00C62C95" w:rsidRPr="004B0590" w:rsidRDefault="00C62C95" w:rsidP="00110F5B">
            <w:pPr>
              <w:tabs>
                <w:tab w:val="left" w:pos="1530"/>
              </w:tabs>
              <w:spacing w:after="0" w:line="276" w:lineRule="auto"/>
              <w:jc w:val="center"/>
              <w:rPr>
                <w:rFonts w:ascii="Times New Roman" w:hAnsi="Times New Roman" w:cs="Times New Roman"/>
                <w:b/>
                <w:sz w:val="24"/>
                <w:szCs w:val="24"/>
              </w:rPr>
            </w:pPr>
          </w:p>
          <w:p w:rsidR="00790295" w:rsidRPr="004B0590" w:rsidRDefault="000209E9" w:rsidP="00110F5B">
            <w:pPr>
              <w:tabs>
                <w:tab w:val="left" w:pos="1530"/>
              </w:tabs>
              <w:spacing w:after="0" w:line="276" w:lineRule="auto"/>
              <w:jc w:val="center"/>
              <w:rPr>
                <w:rFonts w:ascii="Times New Roman" w:hAnsi="Times New Roman" w:cs="Times New Roman"/>
              </w:rPr>
            </w:pPr>
            <w:r w:rsidRPr="004B0590">
              <w:rPr>
                <w:rFonts w:ascii="Times New Roman" w:hAnsi="Times New Roman" w:cs="Times New Roman"/>
                <w:b/>
                <w:sz w:val="24"/>
                <w:szCs w:val="24"/>
              </w:rPr>
              <w:t>Le statut « agricole »</w:t>
            </w:r>
          </w:p>
        </w:tc>
        <w:tc>
          <w:tcPr>
            <w:tcW w:w="6842" w:type="dxa"/>
            <w:shd w:val="clear" w:color="auto" w:fill="auto"/>
            <w:tcMar>
              <w:left w:w="108" w:type="dxa"/>
            </w:tcMar>
          </w:tcPr>
          <w:p w:rsidR="000209E9" w:rsidRPr="004B0590" w:rsidRDefault="007E5DE2" w:rsidP="000209E9">
            <w:pPr>
              <w:jc w:val="both"/>
              <w:rPr>
                <w:rFonts w:ascii="Times New Roman" w:hAnsi="Times New Roman" w:cs="Times New Roman"/>
              </w:rPr>
            </w:pPr>
            <w:r>
              <w:rPr>
                <w:rFonts w:ascii="Times New Roman" w:hAnsi="Times New Roman" w:cs="Times New Roman"/>
              </w:rPr>
              <w:t xml:space="preserve">Le périmètre des cahiers des </w:t>
            </w:r>
            <w:r w:rsidR="000209E9" w:rsidRPr="004B0590">
              <w:rPr>
                <w:rFonts w:ascii="Times New Roman" w:hAnsi="Times New Roman" w:cs="Times New Roman"/>
              </w:rPr>
              <w:t>charges</w:t>
            </w:r>
            <w:r>
              <w:rPr>
                <w:rFonts w:ascii="Times New Roman" w:hAnsi="Times New Roman" w:cs="Times New Roman"/>
              </w:rPr>
              <w:t>,</w:t>
            </w:r>
            <w:r w:rsidR="000209E9" w:rsidRPr="004B0590">
              <w:rPr>
                <w:rFonts w:ascii="Times New Roman" w:hAnsi="Times New Roman" w:cs="Times New Roman"/>
              </w:rPr>
              <w:t xml:space="preserve"> </w:t>
            </w:r>
            <w:r w:rsidR="0093022C" w:rsidRPr="004B0590">
              <w:rPr>
                <w:rFonts w:ascii="Times New Roman" w:hAnsi="Times New Roman" w:cs="Times New Roman"/>
              </w:rPr>
              <w:t xml:space="preserve">limité </w:t>
            </w:r>
            <w:r w:rsidR="000209E9" w:rsidRPr="004B0590">
              <w:rPr>
                <w:rFonts w:ascii="Times New Roman" w:hAnsi="Times New Roman" w:cs="Times New Roman"/>
              </w:rPr>
              <w:t xml:space="preserve">aux </w:t>
            </w:r>
            <w:proofErr w:type="spellStart"/>
            <w:r w:rsidR="000209E9" w:rsidRPr="004B0590">
              <w:rPr>
                <w:rFonts w:ascii="Times New Roman" w:hAnsi="Times New Roman" w:cs="Times New Roman"/>
              </w:rPr>
              <w:t>digestats</w:t>
            </w:r>
            <w:proofErr w:type="spellEnd"/>
            <w:r w:rsidR="000209E9" w:rsidRPr="004B0590">
              <w:rPr>
                <w:rFonts w:ascii="Times New Roman" w:hAnsi="Times New Roman" w:cs="Times New Roman"/>
              </w:rPr>
              <w:t xml:space="preserve"> issus de méthanisation agricole</w:t>
            </w:r>
            <w:r>
              <w:rPr>
                <w:rFonts w:ascii="Times New Roman" w:hAnsi="Times New Roman" w:cs="Times New Roman"/>
              </w:rPr>
              <w:t>,</w:t>
            </w:r>
            <w:r w:rsidR="000209E9" w:rsidRPr="004B0590">
              <w:rPr>
                <w:rFonts w:ascii="Times New Roman" w:hAnsi="Times New Roman" w:cs="Times New Roman"/>
              </w:rPr>
              <w:t xml:space="preserve"> est en adéquation avec l’objectif du plan </w:t>
            </w:r>
            <w:r w:rsidR="00EE42E3" w:rsidRPr="004B0590">
              <w:rPr>
                <w:rFonts w:ascii="Times New Roman" w:hAnsi="Times New Roman" w:cs="Times New Roman"/>
              </w:rPr>
              <w:t>Energie Méthanisation Autonomie Azote (</w:t>
            </w:r>
            <w:r w:rsidR="000209E9" w:rsidRPr="004B0590">
              <w:rPr>
                <w:rFonts w:ascii="Times New Roman" w:hAnsi="Times New Roman" w:cs="Times New Roman"/>
              </w:rPr>
              <w:t>EMAA</w:t>
            </w:r>
            <w:r w:rsidR="00EE42E3" w:rsidRPr="004B0590">
              <w:rPr>
                <w:rFonts w:ascii="Times New Roman" w:hAnsi="Times New Roman" w:cs="Times New Roman"/>
              </w:rPr>
              <w:t>)</w:t>
            </w:r>
            <w:r w:rsidR="000209E9" w:rsidRPr="004B0590">
              <w:rPr>
                <w:rFonts w:ascii="Times New Roman" w:hAnsi="Times New Roman" w:cs="Times New Roman"/>
              </w:rPr>
              <w:t xml:space="preserve"> visant à faciliter les mouvements d’azote organique entre différents territoires en favorisant le développement de la méthanisation agricole. </w:t>
            </w:r>
          </w:p>
          <w:p w:rsidR="00790295" w:rsidRPr="004B0590" w:rsidRDefault="000209E9" w:rsidP="0093022C">
            <w:pPr>
              <w:spacing w:after="0" w:line="276" w:lineRule="auto"/>
              <w:jc w:val="both"/>
              <w:rPr>
                <w:rFonts w:ascii="Times New Roman" w:hAnsi="Times New Roman" w:cs="Times New Roman"/>
                <w:b/>
              </w:rPr>
            </w:pPr>
            <w:r w:rsidRPr="004B0590">
              <w:rPr>
                <w:rFonts w:ascii="Times New Roman" w:hAnsi="Times New Roman" w:cs="Times New Roman"/>
              </w:rPr>
              <w:t xml:space="preserve">L’extension aux </w:t>
            </w:r>
            <w:proofErr w:type="spellStart"/>
            <w:r w:rsidRPr="004B0590">
              <w:rPr>
                <w:rFonts w:ascii="Times New Roman" w:hAnsi="Times New Roman" w:cs="Times New Roman"/>
              </w:rPr>
              <w:t>méthaniseurs</w:t>
            </w:r>
            <w:proofErr w:type="spellEnd"/>
            <w:r w:rsidRPr="004B0590">
              <w:rPr>
                <w:rFonts w:ascii="Times New Roman" w:hAnsi="Times New Roman" w:cs="Times New Roman"/>
              </w:rPr>
              <w:t xml:space="preserve"> non agricoles p</w:t>
            </w:r>
            <w:r w:rsidR="0093022C" w:rsidRPr="004B0590">
              <w:rPr>
                <w:rFonts w:ascii="Times New Roman" w:hAnsi="Times New Roman" w:cs="Times New Roman"/>
              </w:rPr>
              <w:t>ourra</w:t>
            </w:r>
            <w:r w:rsidRPr="004B0590">
              <w:rPr>
                <w:rFonts w:ascii="Times New Roman" w:hAnsi="Times New Roman" w:cs="Times New Roman"/>
              </w:rPr>
              <w:t xml:space="preserve"> être envisagée par la suite</w:t>
            </w:r>
            <w:r w:rsidR="008D56EF" w:rsidRPr="004B0590">
              <w:rPr>
                <w:rFonts w:ascii="Times New Roman" w:hAnsi="Times New Roman" w:cs="Times New Roman"/>
              </w:rPr>
              <w:t>, à l’issue</w:t>
            </w:r>
            <w:r w:rsidRPr="004B0590">
              <w:rPr>
                <w:rFonts w:ascii="Times New Roman" w:hAnsi="Times New Roman" w:cs="Times New Roman"/>
              </w:rPr>
              <w:t xml:space="preserve"> d’une réflexion sur </w:t>
            </w:r>
            <w:r w:rsidR="0093022C" w:rsidRPr="004B0590">
              <w:rPr>
                <w:rFonts w:ascii="Times New Roman" w:hAnsi="Times New Roman" w:cs="Times New Roman"/>
              </w:rPr>
              <w:t xml:space="preserve">le développement de </w:t>
            </w:r>
            <w:r w:rsidRPr="004B0590">
              <w:rPr>
                <w:rFonts w:ascii="Times New Roman" w:hAnsi="Times New Roman" w:cs="Times New Roman"/>
              </w:rPr>
              <w:t xml:space="preserve">la filière méthanisation </w:t>
            </w:r>
            <w:r w:rsidR="0093022C" w:rsidRPr="004B0590">
              <w:rPr>
                <w:rFonts w:ascii="Times New Roman" w:hAnsi="Times New Roman" w:cs="Times New Roman"/>
              </w:rPr>
              <w:t>associant toutes les parties prenantes</w:t>
            </w:r>
            <w:r w:rsidRPr="004B0590">
              <w:rPr>
                <w:rFonts w:ascii="Times New Roman" w:hAnsi="Times New Roman" w:cs="Times New Roman"/>
              </w:rPr>
              <w:t xml:space="preserve">. Il est à noter que les </w:t>
            </w:r>
            <w:proofErr w:type="spellStart"/>
            <w:r w:rsidRPr="004B0590">
              <w:rPr>
                <w:rFonts w:ascii="Times New Roman" w:hAnsi="Times New Roman" w:cs="Times New Roman"/>
              </w:rPr>
              <w:t>digestats</w:t>
            </w:r>
            <w:proofErr w:type="spellEnd"/>
            <w:r w:rsidRPr="004B0590">
              <w:rPr>
                <w:rFonts w:ascii="Times New Roman" w:hAnsi="Times New Roman" w:cs="Times New Roman"/>
              </w:rPr>
              <w:t xml:space="preserve"> issus de ces structures non agricoles peuvent déjà sortir du statut de déchet </w:t>
            </w:r>
            <w:r w:rsidR="0093022C" w:rsidRPr="004B0590">
              <w:rPr>
                <w:rFonts w:ascii="Times New Roman" w:hAnsi="Times New Roman" w:cs="Times New Roman"/>
              </w:rPr>
              <w:t xml:space="preserve">et acquérir celui de « produit » </w:t>
            </w:r>
            <w:r w:rsidRPr="004B0590">
              <w:rPr>
                <w:rFonts w:ascii="Times New Roman" w:hAnsi="Times New Roman" w:cs="Times New Roman"/>
              </w:rPr>
              <w:t xml:space="preserve">par </w:t>
            </w:r>
            <w:r w:rsidR="0093022C" w:rsidRPr="004B0590">
              <w:rPr>
                <w:rFonts w:ascii="Times New Roman" w:hAnsi="Times New Roman" w:cs="Times New Roman"/>
              </w:rPr>
              <w:t xml:space="preserve">conformité à une norme </w:t>
            </w:r>
            <w:r w:rsidRPr="004B0590">
              <w:rPr>
                <w:rFonts w:ascii="Times New Roman" w:hAnsi="Times New Roman" w:cs="Times New Roman"/>
              </w:rPr>
              <w:t xml:space="preserve">ou </w:t>
            </w:r>
            <w:r w:rsidR="0093022C" w:rsidRPr="004B0590">
              <w:rPr>
                <w:rFonts w:ascii="Times New Roman" w:hAnsi="Times New Roman" w:cs="Times New Roman"/>
              </w:rPr>
              <w:t xml:space="preserve">par le biais d’une </w:t>
            </w:r>
            <w:r w:rsidR="00EE42E3" w:rsidRPr="004B0590">
              <w:rPr>
                <w:rFonts w:ascii="Times New Roman" w:hAnsi="Times New Roman" w:cs="Times New Roman"/>
              </w:rPr>
              <w:t>Autorisation de Mise sur le Marché (AMM)</w:t>
            </w:r>
            <w:r w:rsidRPr="004B0590">
              <w:rPr>
                <w:rFonts w:ascii="Times New Roman" w:hAnsi="Times New Roman" w:cs="Times New Roman"/>
              </w:rPr>
              <w:t>.</w:t>
            </w:r>
            <w:r w:rsidR="00913139" w:rsidRPr="004B0590">
              <w:rPr>
                <w:rStyle w:val="tm4code"/>
                <w:rFonts w:ascii="Times New Roman" w:hAnsi="Times New Roman" w:cs="Times New Roman"/>
              </w:rPr>
              <w:t xml:space="preserve"> </w:t>
            </w:r>
          </w:p>
        </w:tc>
      </w:tr>
      <w:tr w:rsidR="000209E9" w:rsidRPr="004B0590" w:rsidTr="000209E9">
        <w:tc>
          <w:tcPr>
            <w:tcW w:w="2220" w:type="dxa"/>
            <w:shd w:val="clear" w:color="auto" w:fill="auto"/>
            <w:tcMar>
              <w:left w:w="108" w:type="dxa"/>
            </w:tcMar>
          </w:tcPr>
          <w:p w:rsidR="000209E9" w:rsidRPr="004B0590" w:rsidRDefault="000209E9" w:rsidP="0005425B">
            <w:pPr>
              <w:tabs>
                <w:tab w:val="left" w:pos="1530"/>
              </w:tabs>
              <w:spacing w:after="0" w:line="276" w:lineRule="auto"/>
              <w:rPr>
                <w:rFonts w:ascii="Times New Roman" w:hAnsi="Times New Roman" w:cs="Times New Roman"/>
              </w:rPr>
            </w:pPr>
          </w:p>
          <w:p w:rsidR="00C62C95" w:rsidRPr="004B0590" w:rsidRDefault="00C62C95" w:rsidP="000209E9">
            <w:pPr>
              <w:tabs>
                <w:tab w:val="left" w:pos="1530"/>
              </w:tabs>
              <w:spacing w:after="0" w:line="276" w:lineRule="auto"/>
              <w:jc w:val="center"/>
              <w:rPr>
                <w:rFonts w:ascii="Times New Roman" w:hAnsi="Times New Roman" w:cs="Times New Roman"/>
                <w:b/>
                <w:sz w:val="24"/>
                <w:szCs w:val="24"/>
              </w:rPr>
            </w:pPr>
          </w:p>
          <w:p w:rsidR="00C62C95" w:rsidRPr="004B0590" w:rsidRDefault="00C62C95" w:rsidP="000209E9">
            <w:pPr>
              <w:tabs>
                <w:tab w:val="left" w:pos="1530"/>
              </w:tabs>
              <w:spacing w:after="0" w:line="276" w:lineRule="auto"/>
              <w:jc w:val="center"/>
              <w:rPr>
                <w:rFonts w:ascii="Times New Roman" w:hAnsi="Times New Roman" w:cs="Times New Roman"/>
                <w:b/>
                <w:sz w:val="24"/>
                <w:szCs w:val="24"/>
              </w:rPr>
            </w:pPr>
          </w:p>
          <w:p w:rsidR="00C62C95" w:rsidRPr="004B0590" w:rsidRDefault="00C62C95" w:rsidP="000209E9">
            <w:pPr>
              <w:tabs>
                <w:tab w:val="left" w:pos="1530"/>
              </w:tabs>
              <w:spacing w:after="0" w:line="276" w:lineRule="auto"/>
              <w:jc w:val="center"/>
              <w:rPr>
                <w:rFonts w:ascii="Times New Roman" w:hAnsi="Times New Roman" w:cs="Times New Roman"/>
                <w:b/>
                <w:sz w:val="24"/>
                <w:szCs w:val="24"/>
              </w:rPr>
            </w:pPr>
          </w:p>
          <w:p w:rsidR="00C62C95" w:rsidRPr="004B0590" w:rsidRDefault="00C62C95" w:rsidP="000209E9">
            <w:pPr>
              <w:tabs>
                <w:tab w:val="left" w:pos="1530"/>
              </w:tabs>
              <w:spacing w:after="0" w:line="276" w:lineRule="auto"/>
              <w:jc w:val="center"/>
              <w:rPr>
                <w:rFonts w:ascii="Times New Roman" w:hAnsi="Times New Roman" w:cs="Times New Roman"/>
                <w:b/>
                <w:sz w:val="24"/>
                <w:szCs w:val="24"/>
              </w:rPr>
            </w:pPr>
          </w:p>
          <w:p w:rsidR="00C62C95" w:rsidRPr="004B0590" w:rsidRDefault="00C62C95" w:rsidP="000209E9">
            <w:pPr>
              <w:tabs>
                <w:tab w:val="left" w:pos="1530"/>
              </w:tabs>
              <w:spacing w:after="0" w:line="276" w:lineRule="auto"/>
              <w:jc w:val="center"/>
              <w:rPr>
                <w:rFonts w:ascii="Times New Roman" w:hAnsi="Times New Roman" w:cs="Times New Roman"/>
                <w:b/>
                <w:sz w:val="24"/>
                <w:szCs w:val="24"/>
              </w:rPr>
            </w:pPr>
          </w:p>
          <w:p w:rsidR="00C62C95" w:rsidRPr="004B0590" w:rsidRDefault="00C62C95" w:rsidP="000209E9">
            <w:pPr>
              <w:tabs>
                <w:tab w:val="left" w:pos="1530"/>
              </w:tabs>
              <w:spacing w:after="0" w:line="276" w:lineRule="auto"/>
              <w:jc w:val="center"/>
              <w:rPr>
                <w:rFonts w:ascii="Times New Roman" w:hAnsi="Times New Roman" w:cs="Times New Roman"/>
                <w:b/>
                <w:sz w:val="24"/>
                <w:szCs w:val="24"/>
              </w:rPr>
            </w:pPr>
          </w:p>
          <w:p w:rsidR="00C62C95" w:rsidRPr="004B0590" w:rsidRDefault="00C62C95" w:rsidP="000209E9">
            <w:pPr>
              <w:tabs>
                <w:tab w:val="left" w:pos="1530"/>
              </w:tabs>
              <w:spacing w:after="0" w:line="276" w:lineRule="auto"/>
              <w:jc w:val="center"/>
              <w:rPr>
                <w:rFonts w:ascii="Times New Roman" w:hAnsi="Times New Roman" w:cs="Times New Roman"/>
                <w:b/>
                <w:sz w:val="24"/>
                <w:szCs w:val="24"/>
              </w:rPr>
            </w:pPr>
          </w:p>
          <w:p w:rsidR="00C62C95" w:rsidRPr="004B0590" w:rsidRDefault="00C62C95" w:rsidP="000209E9">
            <w:pPr>
              <w:tabs>
                <w:tab w:val="left" w:pos="1530"/>
              </w:tabs>
              <w:spacing w:after="0" w:line="276" w:lineRule="auto"/>
              <w:jc w:val="center"/>
              <w:rPr>
                <w:rFonts w:ascii="Times New Roman" w:hAnsi="Times New Roman" w:cs="Times New Roman"/>
                <w:b/>
                <w:sz w:val="24"/>
                <w:szCs w:val="24"/>
              </w:rPr>
            </w:pPr>
          </w:p>
          <w:p w:rsidR="00C62C95" w:rsidRPr="004B0590" w:rsidRDefault="00C62C95" w:rsidP="000209E9">
            <w:pPr>
              <w:tabs>
                <w:tab w:val="left" w:pos="1530"/>
              </w:tabs>
              <w:spacing w:after="0" w:line="276" w:lineRule="auto"/>
              <w:jc w:val="center"/>
              <w:rPr>
                <w:rFonts w:ascii="Times New Roman" w:hAnsi="Times New Roman" w:cs="Times New Roman"/>
                <w:b/>
                <w:sz w:val="24"/>
                <w:szCs w:val="24"/>
              </w:rPr>
            </w:pPr>
          </w:p>
          <w:p w:rsidR="00C62C95" w:rsidRPr="004B0590" w:rsidRDefault="00C62C95" w:rsidP="000209E9">
            <w:pPr>
              <w:tabs>
                <w:tab w:val="left" w:pos="1530"/>
              </w:tabs>
              <w:spacing w:after="0" w:line="276" w:lineRule="auto"/>
              <w:jc w:val="center"/>
              <w:rPr>
                <w:rFonts w:ascii="Times New Roman" w:hAnsi="Times New Roman" w:cs="Times New Roman"/>
                <w:b/>
                <w:sz w:val="24"/>
                <w:szCs w:val="24"/>
              </w:rPr>
            </w:pPr>
          </w:p>
          <w:p w:rsidR="00C62C95" w:rsidRPr="004B0590" w:rsidRDefault="00C62C95" w:rsidP="000209E9">
            <w:pPr>
              <w:tabs>
                <w:tab w:val="left" w:pos="1530"/>
              </w:tabs>
              <w:spacing w:after="0" w:line="276" w:lineRule="auto"/>
              <w:jc w:val="center"/>
              <w:rPr>
                <w:rFonts w:ascii="Times New Roman" w:hAnsi="Times New Roman" w:cs="Times New Roman"/>
                <w:b/>
                <w:sz w:val="24"/>
                <w:szCs w:val="24"/>
              </w:rPr>
            </w:pPr>
          </w:p>
          <w:p w:rsidR="00C62C95" w:rsidRPr="004B0590" w:rsidRDefault="00C62C95" w:rsidP="000209E9">
            <w:pPr>
              <w:tabs>
                <w:tab w:val="left" w:pos="1530"/>
              </w:tabs>
              <w:spacing w:after="0" w:line="276" w:lineRule="auto"/>
              <w:jc w:val="center"/>
              <w:rPr>
                <w:rFonts w:ascii="Times New Roman" w:hAnsi="Times New Roman" w:cs="Times New Roman"/>
                <w:b/>
                <w:sz w:val="24"/>
                <w:szCs w:val="24"/>
              </w:rPr>
            </w:pPr>
          </w:p>
          <w:p w:rsidR="000209E9" w:rsidRPr="004B0590" w:rsidRDefault="000209E9" w:rsidP="000209E9">
            <w:pPr>
              <w:tabs>
                <w:tab w:val="left" w:pos="1530"/>
              </w:tabs>
              <w:spacing w:after="0" w:line="276" w:lineRule="auto"/>
              <w:jc w:val="center"/>
              <w:rPr>
                <w:rFonts w:ascii="Times New Roman" w:hAnsi="Times New Roman" w:cs="Times New Roman"/>
              </w:rPr>
            </w:pPr>
            <w:r w:rsidRPr="004B0590">
              <w:rPr>
                <w:rFonts w:ascii="Times New Roman" w:hAnsi="Times New Roman" w:cs="Times New Roman"/>
                <w:b/>
                <w:sz w:val="24"/>
                <w:szCs w:val="24"/>
              </w:rPr>
              <w:t>La liste des matières premières autorisées</w:t>
            </w:r>
            <w:r w:rsidRPr="004B0590">
              <w:rPr>
                <w:rFonts w:ascii="Times New Roman" w:hAnsi="Times New Roman" w:cs="Times New Roman"/>
              </w:rPr>
              <w:t xml:space="preserve"> </w:t>
            </w:r>
          </w:p>
          <w:p w:rsidR="000209E9" w:rsidRPr="004B0590" w:rsidRDefault="000209E9" w:rsidP="000209E9">
            <w:pPr>
              <w:tabs>
                <w:tab w:val="left" w:pos="1530"/>
              </w:tabs>
              <w:spacing w:after="0" w:line="276" w:lineRule="auto"/>
              <w:jc w:val="center"/>
              <w:rPr>
                <w:rFonts w:ascii="Times New Roman" w:hAnsi="Times New Roman" w:cs="Times New Roman"/>
              </w:rPr>
            </w:pPr>
          </w:p>
          <w:p w:rsidR="000209E9" w:rsidRPr="004B0590" w:rsidRDefault="000209E9" w:rsidP="000209E9">
            <w:pPr>
              <w:tabs>
                <w:tab w:val="left" w:pos="1530"/>
              </w:tabs>
              <w:spacing w:after="0" w:line="276" w:lineRule="auto"/>
              <w:jc w:val="center"/>
              <w:rPr>
                <w:rFonts w:ascii="Times New Roman" w:hAnsi="Times New Roman" w:cs="Times New Roman"/>
              </w:rPr>
            </w:pPr>
          </w:p>
          <w:p w:rsidR="000209E9" w:rsidRPr="004B0590" w:rsidRDefault="000209E9" w:rsidP="000209E9">
            <w:pPr>
              <w:tabs>
                <w:tab w:val="left" w:pos="1530"/>
              </w:tabs>
              <w:spacing w:after="0" w:line="276" w:lineRule="auto"/>
              <w:jc w:val="center"/>
              <w:rPr>
                <w:rFonts w:ascii="Times New Roman" w:hAnsi="Times New Roman" w:cs="Times New Roman"/>
              </w:rPr>
            </w:pPr>
          </w:p>
          <w:p w:rsidR="000209E9" w:rsidRPr="004B0590" w:rsidRDefault="000209E9" w:rsidP="000209E9">
            <w:pPr>
              <w:tabs>
                <w:tab w:val="left" w:pos="1530"/>
              </w:tabs>
              <w:spacing w:after="0" w:line="276" w:lineRule="auto"/>
              <w:jc w:val="center"/>
              <w:rPr>
                <w:rFonts w:ascii="Times New Roman" w:hAnsi="Times New Roman" w:cs="Times New Roman"/>
              </w:rPr>
            </w:pPr>
          </w:p>
          <w:p w:rsidR="000209E9" w:rsidRPr="004B0590" w:rsidRDefault="000209E9" w:rsidP="000209E9">
            <w:pPr>
              <w:tabs>
                <w:tab w:val="left" w:pos="1530"/>
              </w:tabs>
              <w:spacing w:after="0" w:line="276" w:lineRule="auto"/>
              <w:jc w:val="center"/>
              <w:rPr>
                <w:rFonts w:ascii="Times New Roman" w:hAnsi="Times New Roman" w:cs="Times New Roman"/>
              </w:rPr>
            </w:pPr>
          </w:p>
        </w:tc>
        <w:tc>
          <w:tcPr>
            <w:tcW w:w="6842" w:type="dxa"/>
            <w:shd w:val="clear" w:color="auto" w:fill="auto"/>
            <w:tcMar>
              <w:left w:w="108" w:type="dxa"/>
            </w:tcMar>
          </w:tcPr>
          <w:p w:rsidR="000209E9" w:rsidRPr="004B0590" w:rsidRDefault="0005425B" w:rsidP="000209E9">
            <w:pPr>
              <w:jc w:val="both"/>
              <w:rPr>
                <w:rFonts w:ascii="Times New Roman" w:hAnsi="Times New Roman" w:cs="Times New Roman"/>
              </w:rPr>
            </w:pPr>
            <w:r w:rsidRPr="004B0590">
              <w:rPr>
                <w:rFonts w:ascii="Times New Roman" w:hAnsi="Times New Roman" w:cs="Times New Roman"/>
              </w:rPr>
              <w:lastRenderedPageBreak/>
              <w:t>Le</w:t>
            </w:r>
            <w:r w:rsidR="000209E9" w:rsidRPr="004B0590">
              <w:rPr>
                <w:rFonts w:ascii="Times New Roman" w:hAnsi="Times New Roman" w:cs="Times New Roman"/>
              </w:rPr>
              <w:t xml:space="preserve"> seuil d’effluents provenant d’exploitations agricoles est en lien direct avec les objectifs de ces CDC </w:t>
            </w:r>
            <w:r w:rsidRPr="004B0590">
              <w:rPr>
                <w:rFonts w:ascii="Times New Roman" w:hAnsi="Times New Roman" w:cs="Times New Roman"/>
              </w:rPr>
              <w:t xml:space="preserve">liés au plan </w:t>
            </w:r>
            <w:r w:rsidR="00EE42E3" w:rsidRPr="004B0590">
              <w:rPr>
                <w:rFonts w:ascii="Times New Roman" w:hAnsi="Times New Roman" w:cs="Times New Roman"/>
              </w:rPr>
              <w:t>EMAA</w:t>
            </w:r>
            <w:r w:rsidR="000209E9" w:rsidRPr="004B0590">
              <w:rPr>
                <w:rFonts w:ascii="Times New Roman" w:hAnsi="Times New Roman" w:cs="Times New Roman"/>
              </w:rPr>
              <w:t xml:space="preserve">. Un projet de nouveau CDC </w:t>
            </w:r>
            <w:r w:rsidR="0093022C" w:rsidRPr="004B0590">
              <w:rPr>
                <w:rFonts w:ascii="Times New Roman" w:hAnsi="Times New Roman" w:cs="Times New Roman"/>
              </w:rPr>
              <w:t xml:space="preserve">ciblant </w:t>
            </w:r>
            <w:r w:rsidR="000209E9" w:rsidRPr="004B0590">
              <w:rPr>
                <w:rFonts w:ascii="Times New Roman" w:hAnsi="Times New Roman" w:cs="Times New Roman"/>
              </w:rPr>
              <w:t xml:space="preserve">la méthanisation </w:t>
            </w:r>
            <w:r w:rsidR="0093022C" w:rsidRPr="004B0590">
              <w:rPr>
                <w:rFonts w:ascii="Times New Roman" w:hAnsi="Times New Roman" w:cs="Times New Roman"/>
              </w:rPr>
              <w:t xml:space="preserve">d’intrants </w:t>
            </w:r>
            <w:r w:rsidR="000209E9" w:rsidRPr="004B0590">
              <w:rPr>
                <w:rFonts w:ascii="Times New Roman" w:hAnsi="Times New Roman" w:cs="Times New Roman"/>
              </w:rPr>
              <w:t>végéta</w:t>
            </w:r>
            <w:r w:rsidR="0093022C" w:rsidRPr="004B0590">
              <w:rPr>
                <w:rFonts w:ascii="Times New Roman" w:hAnsi="Times New Roman" w:cs="Times New Roman"/>
              </w:rPr>
              <w:t>ux</w:t>
            </w:r>
            <w:r w:rsidR="000209E9" w:rsidRPr="004B0590">
              <w:rPr>
                <w:rFonts w:ascii="Times New Roman" w:hAnsi="Times New Roman" w:cs="Times New Roman"/>
              </w:rPr>
              <w:t xml:space="preserve"> pourrait être envisagé afin de développer la méthanisation dans les zones agricoles à dominante </w:t>
            </w:r>
            <w:r w:rsidR="000209E9" w:rsidRPr="004B0590">
              <w:rPr>
                <w:rFonts w:ascii="Times New Roman" w:hAnsi="Times New Roman" w:cs="Times New Roman"/>
              </w:rPr>
              <w:lastRenderedPageBreak/>
              <w:t>végétale</w:t>
            </w:r>
            <w:r w:rsidR="0093022C" w:rsidRPr="004B0590">
              <w:rPr>
                <w:rFonts w:ascii="Times New Roman" w:hAnsi="Times New Roman" w:cs="Times New Roman"/>
              </w:rPr>
              <w:t xml:space="preserve">, mais </w:t>
            </w:r>
            <w:r w:rsidR="000209E9" w:rsidRPr="004B0590">
              <w:rPr>
                <w:rFonts w:ascii="Times New Roman" w:hAnsi="Times New Roman" w:cs="Times New Roman"/>
              </w:rPr>
              <w:t>nécessite un</w:t>
            </w:r>
            <w:r w:rsidR="0093022C" w:rsidRPr="004B0590">
              <w:rPr>
                <w:rFonts w:ascii="Times New Roman" w:hAnsi="Times New Roman" w:cs="Times New Roman"/>
              </w:rPr>
              <w:t xml:space="preserve"> travail préliminaire, notamment sur </w:t>
            </w:r>
            <w:r w:rsidR="000209E9" w:rsidRPr="004B0590">
              <w:rPr>
                <w:rFonts w:ascii="Times New Roman" w:hAnsi="Times New Roman" w:cs="Times New Roman"/>
              </w:rPr>
              <w:t>les procédés appropriés</w:t>
            </w:r>
            <w:r w:rsidR="0093022C" w:rsidRPr="004B0590">
              <w:rPr>
                <w:rFonts w:ascii="Times New Roman" w:hAnsi="Times New Roman" w:cs="Times New Roman"/>
              </w:rPr>
              <w:t xml:space="preserve"> et</w:t>
            </w:r>
            <w:r w:rsidR="000209E9" w:rsidRPr="004B0590">
              <w:rPr>
                <w:rFonts w:ascii="Times New Roman" w:hAnsi="Times New Roman" w:cs="Times New Roman"/>
              </w:rPr>
              <w:t xml:space="preserve"> les matières premières</w:t>
            </w:r>
            <w:r w:rsidR="0093022C" w:rsidRPr="004B0590">
              <w:rPr>
                <w:rFonts w:ascii="Times New Roman" w:hAnsi="Times New Roman" w:cs="Times New Roman"/>
              </w:rPr>
              <w:t xml:space="preserve"> à retenir</w:t>
            </w:r>
            <w:r w:rsidR="000209E9" w:rsidRPr="004B0590">
              <w:rPr>
                <w:rFonts w:ascii="Times New Roman" w:hAnsi="Times New Roman" w:cs="Times New Roman"/>
              </w:rPr>
              <w:t xml:space="preserve">. </w:t>
            </w:r>
          </w:p>
          <w:p w:rsidR="0005425B" w:rsidRPr="004B0590" w:rsidRDefault="0005425B" w:rsidP="000209E9">
            <w:pPr>
              <w:jc w:val="both"/>
              <w:rPr>
                <w:rFonts w:ascii="Times New Roman" w:hAnsi="Times New Roman" w:cs="Times New Roman"/>
              </w:rPr>
            </w:pPr>
            <w:r w:rsidRPr="004B0590">
              <w:rPr>
                <w:rFonts w:ascii="Times New Roman" w:hAnsi="Times New Roman" w:cs="Times New Roman"/>
              </w:rPr>
              <w:t xml:space="preserve">Par ailleurs, l’élargissement à d’autres </w:t>
            </w:r>
            <w:proofErr w:type="spellStart"/>
            <w:r w:rsidRPr="004B0590">
              <w:rPr>
                <w:rFonts w:ascii="Times New Roman" w:hAnsi="Times New Roman" w:cs="Times New Roman"/>
              </w:rPr>
              <w:t>biodéchets</w:t>
            </w:r>
            <w:proofErr w:type="spellEnd"/>
            <w:r w:rsidRPr="004B0590">
              <w:rPr>
                <w:rFonts w:ascii="Times New Roman" w:hAnsi="Times New Roman" w:cs="Times New Roman"/>
              </w:rPr>
              <w:t xml:space="preserve"> ou boues d’épuration ne peut être envisagé dans ce CDC. En effet, les boues de station d’épuration sont exclues de la possibilité de sortie du statut de déchet par l’article 95 de la loi EGALIM. De plus, l’ANSES a </w:t>
            </w:r>
            <w:r w:rsidR="0093022C" w:rsidRPr="004B0590">
              <w:rPr>
                <w:rFonts w:ascii="Times New Roman" w:hAnsi="Times New Roman" w:cs="Times New Roman"/>
              </w:rPr>
              <w:t xml:space="preserve">souligné </w:t>
            </w:r>
            <w:r w:rsidRPr="004B0590">
              <w:rPr>
                <w:rFonts w:ascii="Times New Roman" w:hAnsi="Times New Roman" w:cs="Times New Roman"/>
              </w:rPr>
              <w:t xml:space="preserve">le fait que les sous-produits des gros producteurs (notamment </w:t>
            </w:r>
            <w:r w:rsidR="0093022C" w:rsidRPr="004B0590">
              <w:rPr>
                <w:rFonts w:ascii="Times New Roman" w:hAnsi="Times New Roman" w:cs="Times New Roman"/>
              </w:rPr>
              <w:t xml:space="preserve">les </w:t>
            </w:r>
            <w:r w:rsidRPr="004B0590">
              <w:rPr>
                <w:rFonts w:ascii="Times New Roman" w:hAnsi="Times New Roman" w:cs="Times New Roman"/>
              </w:rPr>
              <w:t xml:space="preserve">grandes surfaces), </w:t>
            </w:r>
            <w:r w:rsidR="0093022C" w:rsidRPr="004B0590">
              <w:rPr>
                <w:rFonts w:ascii="Times New Roman" w:hAnsi="Times New Roman" w:cs="Times New Roman"/>
              </w:rPr>
              <w:t>l</w:t>
            </w:r>
            <w:r w:rsidRPr="004B0590">
              <w:rPr>
                <w:rFonts w:ascii="Times New Roman" w:hAnsi="Times New Roman" w:cs="Times New Roman"/>
              </w:rPr>
              <w:t xml:space="preserve">es déchets de cuisine et de table et les boues d’épuration présentaient des risques plus élevés. Il est à noter que les </w:t>
            </w:r>
            <w:proofErr w:type="spellStart"/>
            <w:r w:rsidRPr="004B0590">
              <w:rPr>
                <w:rFonts w:ascii="Times New Roman" w:hAnsi="Times New Roman" w:cs="Times New Roman"/>
              </w:rPr>
              <w:t>digestats</w:t>
            </w:r>
            <w:proofErr w:type="spellEnd"/>
            <w:r w:rsidRPr="004B0590">
              <w:rPr>
                <w:rFonts w:ascii="Times New Roman" w:hAnsi="Times New Roman" w:cs="Times New Roman"/>
              </w:rPr>
              <w:t xml:space="preserve"> incorporant ce type de produits </w:t>
            </w:r>
            <w:r w:rsidR="0093022C" w:rsidRPr="004B0590">
              <w:rPr>
                <w:rFonts w:ascii="Times New Roman" w:hAnsi="Times New Roman" w:cs="Times New Roman"/>
              </w:rPr>
              <w:t xml:space="preserve">conservent </w:t>
            </w:r>
            <w:r w:rsidRPr="004B0590">
              <w:rPr>
                <w:rFonts w:ascii="Times New Roman" w:hAnsi="Times New Roman" w:cs="Times New Roman"/>
              </w:rPr>
              <w:t>la possibilité de sortir du statut de déchet.</w:t>
            </w:r>
          </w:p>
          <w:p w:rsidR="0005425B" w:rsidRPr="004B0590" w:rsidRDefault="0005425B" w:rsidP="0093022C">
            <w:pPr>
              <w:jc w:val="both"/>
              <w:rPr>
                <w:rFonts w:ascii="Times New Roman" w:hAnsi="Times New Roman" w:cs="Times New Roman"/>
              </w:rPr>
            </w:pPr>
            <w:r w:rsidRPr="004B0590">
              <w:rPr>
                <w:rFonts w:ascii="Times New Roman" w:hAnsi="Times New Roman" w:cs="Times New Roman"/>
              </w:rPr>
              <w:t xml:space="preserve">Concernant la </w:t>
            </w:r>
            <w:r w:rsidR="0093022C" w:rsidRPr="004B0590">
              <w:rPr>
                <w:rFonts w:ascii="Times New Roman" w:hAnsi="Times New Roman" w:cs="Times New Roman"/>
              </w:rPr>
              <w:t xml:space="preserve">demande de restriction de la </w:t>
            </w:r>
            <w:r w:rsidRPr="004B0590">
              <w:rPr>
                <w:rFonts w:ascii="Times New Roman" w:hAnsi="Times New Roman" w:cs="Times New Roman"/>
              </w:rPr>
              <w:t xml:space="preserve">liste des matières premières autorisées pour le CDC3, il </w:t>
            </w:r>
            <w:r w:rsidR="0093022C" w:rsidRPr="004B0590">
              <w:rPr>
                <w:rFonts w:ascii="Times New Roman" w:hAnsi="Times New Roman" w:cs="Times New Roman"/>
              </w:rPr>
              <w:t xml:space="preserve">n’y est pas donné suite dans la mesure où </w:t>
            </w:r>
            <w:r w:rsidRPr="004B0590">
              <w:rPr>
                <w:rFonts w:ascii="Times New Roman" w:hAnsi="Times New Roman" w:cs="Times New Roman"/>
              </w:rPr>
              <w:t xml:space="preserve">l’ANSES </w:t>
            </w:r>
            <w:r w:rsidR="0093022C" w:rsidRPr="004B0590">
              <w:rPr>
                <w:rFonts w:ascii="Times New Roman" w:hAnsi="Times New Roman" w:cs="Times New Roman"/>
              </w:rPr>
              <w:t xml:space="preserve">s’est prononcée favorablement </w:t>
            </w:r>
            <w:r w:rsidRPr="004B0590">
              <w:rPr>
                <w:rFonts w:ascii="Times New Roman" w:hAnsi="Times New Roman" w:cs="Times New Roman"/>
              </w:rPr>
              <w:t xml:space="preserve">sur l’innocuité des </w:t>
            </w:r>
            <w:proofErr w:type="spellStart"/>
            <w:r w:rsidRPr="004B0590">
              <w:rPr>
                <w:rFonts w:ascii="Times New Roman" w:hAnsi="Times New Roman" w:cs="Times New Roman"/>
              </w:rPr>
              <w:t>digestats</w:t>
            </w:r>
            <w:proofErr w:type="spellEnd"/>
            <w:r w:rsidRPr="004B0590">
              <w:rPr>
                <w:rFonts w:ascii="Times New Roman" w:hAnsi="Times New Roman" w:cs="Times New Roman"/>
              </w:rPr>
              <w:t xml:space="preserve"> conformes au CDC concerné (</w:t>
            </w:r>
            <w:proofErr w:type="spellStart"/>
            <w:r w:rsidRPr="004B0590">
              <w:rPr>
                <w:rFonts w:ascii="Times New Roman" w:hAnsi="Times New Roman" w:cs="Times New Roman"/>
              </w:rPr>
              <w:t>DigAgri</w:t>
            </w:r>
            <w:proofErr w:type="spellEnd"/>
            <w:r w:rsidRPr="004B0590">
              <w:rPr>
                <w:rFonts w:ascii="Times New Roman" w:hAnsi="Times New Roman" w:cs="Times New Roman"/>
              </w:rPr>
              <w:t xml:space="preserve"> 3). L’ajout par rapport au </w:t>
            </w:r>
            <w:proofErr w:type="spellStart"/>
            <w:r w:rsidRPr="004B0590">
              <w:rPr>
                <w:rFonts w:ascii="Times New Roman" w:hAnsi="Times New Roman" w:cs="Times New Roman"/>
              </w:rPr>
              <w:t>DigAgri</w:t>
            </w:r>
            <w:proofErr w:type="spellEnd"/>
            <w:r w:rsidRPr="004B0590">
              <w:rPr>
                <w:rFonts w:ascii="Times New Roman" w:hAnsi="Times New Roman" w:cs="Times New Roman"/>
              </w:rPr>
              <w:t xml:space="preserve"> 1 de certaines matières premières issues de l’industrie agro-alimentaire (denrées alimentaires animales ou d’origine animale retirées du marché pour des motifs autre que sanitaire, matières issues du traitement des eaux résiduaires des IAA exclusivement, y compris les graisses de flottation, à l’exception des boues) permet d’augmenter le pouvoir méthanogène et donc de favoriser le développement de la méthanisation. Il s’agit également d’une ouverture vers l’inclusion d’autres </w:t>
            </w:r>
            <w:proofErr w:type="spellStart"/>
            <w:r w:rsidRPr="004B0590">
              <w:rPr>
                <w:rFonts w:ascii="Times New Roman" w:hAnsi="Times New Roman" w:cs="Times New Roman"/>
              </w:rPr>
              <w:t>biodéchets</w:t>
            </w:r>
            <w:proofErr w:type="spellEnd"/>
            <w:r w:rsidRPr="004B0590">
              <w:rPr>
                <w:rFonts w:ascii="Times New Roman" w:hAnsi="Times New Roman" w:cs="Times New Roman"/>
              </w:rPr>
              <w:t xml:space="preserve"> en lien avec les nouveaux objectifs de l’économie circulaire.</w:t>
            </w:r>
          </w:p>
        </w:tc>
      </w:tr>
      <w:tr w:rsidR="000209E9" w:rsidRPr="004B0590" w:rsidTr="000209E9">
        <w:tc>
          <w:tcPr>
            <w:tcW w:w="2220" w:type="dxa"/>
            <w:shd w:val="clear" w:color="auto" w:fill="auto"/>
            <w:tcMar>
              <w:left w:w="108" w:type="dxa"/>
            </w:tcMar>
          </w:tcPr>
          <w:p w:rsidR="000209E9" w:rsidRPr="004B0590" w:rsidRDefault="000209E9" w:rsidP="00950D74">
            <w:pPr>
              <w:spacing w:after="0" w:line="276" w:lineRule="auto"/>
              <w:rPr>
                <w:rFonts w:ascii="Times New Roman" w:hAnsi="Times New Roman" w:cs="Times New Roman"/>
              </w:rPr>
            </w:pPr>
          </w:p>
          <w:p w:rsidR="000209E9" w:rsidRPr="004B0590" w:rsidRDefault="0005425B" w:rsidP="000209E9">
            <w:pPr>
              <w:spacing w:after="0" w:line="276" w:lineRule="auto"/>
              <w:jc w:val="center"/>
              <w:rPr>
                <w:rFonts w:ascii="Times New Roman" w:hAnsi="Times New Roman" w:cs="Times New Roman"/>
              </w:rPr>
            </w:pPr>
            <w:r w:rsidRPr="004B0590">
              <w:rPr>
                <w:rFonts w:ascii="Times New Roman" w:hAnsi="Times New Roman" w:cs="Times New Roman"/>
                <w:b/>
                <w:sz w:val="24"/>
                <w:szCs w:val="24"/>
              </w:rPr>
              <w:t>Critères d’innocuité</w:t>
            </w:r>
          </w:p>
          <w:p w:rsidR="000209E9" w:rsidRPr="004B0590" w:rsidRDefault="000209E9" w:rsidP="000209E9">
            <w:pPr>
              <w:spacing w:after="0" w:line="276" w:lineRule="auto"/>
              <w:jc w:val="center"/>
              <w:rPr>
                <w:rFonts w:ascii="Times New Roman" w:hAnsi="Times New Roman" w:cs="Times New Roman"/>
              </w:rPr>
            </w:pPr>
          </w:p>
        </w:tc>
        <w:tc>
          <w:tcPr>
            <w:tcW w:w="6842" w:type="dxa"/>
            <w:shd w:val="clear" w:color="auto" w:fill="auto"/>
            <w:tcMar>
              <w:left w:w="108" w:type="dxa"/>
            </w:tcMar>
          </w:tcPr>
          <w:p w:rsidR="000209E9" w:rsidRPr="004B0590" w:rsidRDefault="0005425B" w:rsidP="008660FF">
            <w:pPr>
              <w:jc w:val="both"/>
              <w:rPr>
                <w:rFonts w:ascii="Times New Roman" w:hAnsi="Times New Roman" w:cs="Times New Roman"/>
              </w:rPr>
            </w:pPr>
            <w:r w:rsidRPr="004B0590">
              <w:rPr>
                <w:rFonts w:ascii="Times New Roman" w:hAnsi="Times New Roman" w:cs="Times New Roman"/>
              </w:rPr>
              <w:t xml:space="preserve">Les modifications de critères d’innocuité et de seuil qui ont été proposées par l’ANSES dans son avis ont été intégrées. Par conséquent, les </w:t>
            </w:r>
            <w:proofErr w:type="spellStart"/>
            <w:r w:rsidRPr="004B0590">
              <w:rPr>
                <w:rFonts w:ascii="Times New Roman" w:hAnsi="Times New Roman" w:cs="Times New Roman"/>
              </w:rPr>
              <w:t>digestats</w:t>
            </w:r>
            <w:proofErr w:type="spellEnd"/>
            <w:r w:rsidRPr="004B0590">
              <w:rPr>
                <w:rFonts w:ascii="Times New Roman" w:hAnsi="Times New Roman" w:cs="Times New Roman"/>
              </w:rPr>
              <w:t xml:space="preserve"> issus de ces cahiers des charges sont considérés par l’Anses comme ne présentant pas de risques sanitaires</w:t>
            </w:r>
            <w:r w:rsidR="008660FF" w:rsidRPr="004B0590">
              <w:rPr>
                <w:rFonts w:ascii="Times New Roman" w:hAnsi="Times New Roman" w:cs="Times New Roman"/>
              </w:rPr>
              <w:t xml:space="preserve"> particuliers</w:t>
            </w:r>
            <w:r w:rsidRPr="004B0590">
              <w:rPr>
                <w:rFonts w:ascii="Times New Roman" w:hAnsi="Times New Roman" w:cs="Times New Roman"/>
              </w:rPr>
              <w:t xml:space="preserve">. </w:t>
            </w:r>
          </w:p>
        </w:tc>
      </w:tr>
      <w:tr w:rsidR="00790295" w:rsidRPr="004B0590" w:rsidTr="000209E9">
        <w:tc>
          <w:tcPr>
            <w:tcW w:w="2220" w:type="dxa"/>
            <w:shd w:val="clear" w:color="auto" w:fill="auto"/>
            <w:tcMar>
              <w:left w:w="108" w:type="dxa"/>
            </w:tcMar>
          </w:tcPr>
          <w:p w:rsidR="00790295" w:rsidRPr="00410B40" w:rsidRDefault="00790295" w:rsidP="00950D74">
            <w:pPr>
              <w:spacing w:after="0" w:line="276" w:lineRule="auto"/>
              <w:rPr>
                <w:rFonts w:ascii="Times New Roman" w:hAnsi="Times New Roman" w:cs="Times New Roman"/>
                <w:b/>
              </w:rPr>
            </w:pPr>
          </w:p>
          <w:p w:rsidR="00790295" w:rsidRPr="00410B40" w:rsidRDefault="0005425B" w:rsidP="0005425B">
            <w:pPr>
              <w:spacing w:after="0" w:line="276" w:lineRule="auto"/>
              <w:jc w:val="center"/>
              <w:rPr>
                <w:rFonts w:ascii="Times New Roman" w:hAnsi="Times New Roman" w:cs="Times New Roman"/>
                <w:b/>
                <w:sz w:val="24"/>
                <w:szCs w:val="24"/>
              </w:rPr>
            </w:pPr>
            <w:r w:rsidRPr="00410B40">
              <w:rPr>
                <w:rFonts w:ascii="Times New Roman" w:hAnsi="Times New Roman" w:cs="Times New Roman"/>
                <w:b/>
                <w:sz w:val="24"/>
                <w:szCs w:val="24"/>
              </w:rPr>
              <w:t xml:space="preserve">Procédé de fabrication </w:t>
            </w:r>
          </w:p>
          <w:p w:rsidR="00790295" w:rsidRPr="00410B40" w:rsidRDefault="00790295" w:rsidP="00110F5B">
            <w:pPr>
              <w:spacing w:after="0" w:line="276" w:lineRule="auto"/>
              <w:jc w:val="center"/>
              <w:rPr>
                <w:rFonts w:ascii="Times New Roman" w:hAnsi="Times New Roman" w:cs="Times New Roman"/>
                <w:b/>
              </w:rPr>
            </w:pPr>
          </w:p>
        </w:tc>
        <w:tc>
          <w:tcPr>
            <w:tcW w:w="6842" w:type="dxa"/>
            <w:shd w:val="clear" w:color="auto" w:fill="auto"/>
            <w:tcMar>
              <w:left w:w="108" w:type="dxa"/>
            </w:tcMar>
          </w:tcPr>
          <w:p w:rsidR="00790295" w:rsidRPr="00410B40" w:rsidRDefault="008660FF" w:rsidP="008D56EF">
            <w:pPr>
              <w:spacing w:after="0" w:line="276" w:lineRule="auto"/>
              <w:jc w:val="both"/>
              <w:rPr>
                <w:rFonts w:ascii="Times New Roman" w:hAnsi="Times New Roman" w:cs="Times New Roman"/>
              </w:rPr>
            </w:pPr>
            <w:r w:rsidRPr="00410B40">
              <w:rPr>
                <w:rFonts w:ascii="Times New Roman" w:hAnsi="Times New Roman" w:cs="Times New Roman"/>
                <w:color w:val="000000"/>
              </w:rPr>
              <w:t>L</w:t>
            </w:r>
            <w:r w:rsidR="0005425B" w:rsidRPr="00410B40">
              <w:rPr>
                <w:rFonts w:ascii="Times New Roman" w:hAnsi="Times New Roman" w:cs="Times New Roman"/>
                <w:color w:val="000000"/>
              </w:rPr>
              <w:t xml:space="preserve">es </w:t>
            </w:r>
            <w:r w:rsidR="00EE42E3" w:rsidRPr="00410B40">
              <w:rPr>
                <w:rFonts w:ascii="Times New Roman" w:hAnsi="Times New Roman" w:cs="Times New Roman"/>
                <w:color w:val="000000"/>
              </w:rPr>
              <w:t>plages de température ont été élargies</w:t>
            </w:r>
            <w:r w:rsidRPr="00410B40">
              <w:rPr>
                <w:rFonts w:ascii="Times New Roman" w:hAnsi="Times New Roman" w:cs="Times New Roman"/>
                <w:color w:val="000000"/>
              </w:rPr>
              <w:t xml:space="preserve"> pour tenir compte des remarques émises. Par contre, l</w:t>
            </w:r>
            <w:r w:rsidR="00EE42E3" w:rsidRPr="00410B40">
              <w:rPr>
                <w:rFonts w:ascii="Times New Roman" w:hAnsi="Times New Roman" w:cs="Times New Roman"/>
                <w:color w:val="000000"/>
              </w:rPr>
              <w:t xml:space="preserve">es temps de séjour ont été maintenu à la durée validée </w:t>
            </w:r>
            <w:r w:rsidR="00410B40" w:rsidRPr="00410B40">
              <w:rPr>
                <w:rFonts w:ascii="Times New Roman" w:hAnsi="Times New Roman" w:cs="Times New Roman"/>
                <w:color w:val="000000"/>
              </w:rPr>
              <w:t xml:space="preserve">initialement </w:t>
            </w:r>
            <w:r w:rsidR="00EE42E3" w:rsidRPr="00410B40">
              <w:rPr>
                <w:rFonts w:ascii="Times New Roman" w:hAnsi="Times New Roman" w:cs="Times New Roman"/>
                <w:color w:val="000000"/>
              </w:rPr>
              <w:t>par l’Anses</w:t>
            </w:r>
            <w:r w:rsidR="008D56EF" w:rsidRPr="00410B40">
              <w:rPr>
                <w:rFonts w:ascii="Times New Roman" w:hAnsi="Times New Roman" w:cs="Times New Roman"/>
                <w:color w:val="000000"/>
              </w:rPr>
              <w:t xml:space="preserve"> en raison de la plus forte volatilisation de l’ammoniac en cas de temps de séjour plus court</w:t>
            </w:r>
            <w:r w:rsidR="00EE42E3" w:rsidRPr="00410B40">
              <w:rPr>
                <w:rFonts w:ascii="Times New Roman" w:hAnsi="Times New Roman" w:cs="Times New Roman"/>
                <w:color w:val="000000"/>
              </w:rPr>
              <w:t xml:space="preserve">. </w:t>
            </w:r>
            <w:r w:rsidR="0005425B" w:rsidRPr="00410B40">
              <w:rPr>
                <w:rFonts w:ascii="Times New Roman" w:hAnsi="Times New Roman" w:cs="Times New Roman"/>
                <w:color w:val="000000"/>
              </w:rPr>
              <w:t xml:space="preserve"> </w:t>
            </w:r>
          </w:p>
        </w:tc>
      </w:tr>
      <w:tr w:rsidR="00790295" w:rsidRPr="004B0590" w:rsidTr="000209E9">
        <w:tc>
          <w:tcPr>
            <w:tcW w:w="2220" w:type="dxa"/>
            <w:shd w:val="clear" w:color="auto" w:fill="auto"/>
            <w:tcMar>
              <w:left w:w="108" w:type="dxa"/>
            </w:tcMar>
          </w:tcPr>
          <w:p w:rsidR="00790295" w:rsidRPr="004B0590" w:rsidRDefault="00790295" w:rsidP="00950D74">
            <w:pPr>
              <w:spacing w:after="0" w:line="276" w:lineRule="auto"/>
              <w:rPr>
                <w:rFonts w:ascii="Times New Roman" w:hAnsi="Times New Roman" w:cs="Times New Roman"/>
              </w:rPr>
            </w:pPr>
          </w:p>
          <w:p w:rsidR="00790295" w:rsidRPr="004B0590" w:rsidRDefault="0005425B" w:rsidP="00110F5B">
            <w:pPr>
              <w:spacing w:after="0" w:line="276" w:lineRule="auto"/>
              <w:jc w:val="center"/>
              <w:rPr>
                <w:rFonts w:ascii="Times New Roman" w:hAnsi="Times New Roman" w:cs="Times New Roman"/>
              </w:rPr>
            </w:pPr>
            <w:r w:rsidRPr="004B0590">
              <w:rPr>
                <w:rFonts w:ascii="Times New Roman" w:hAnsi="Times New Roman" w:cs="Times New Roman"/>
                <w:b/>
                <w:sz w:val="24"/>
                <w:szCs w:val="24"/>
              </w:rPr>
              <w:t>Usage et conditions d’emploi</w:t>
            </w:r>
            <w:r w:rsidRPr="004B0590">
              <w:rPr>
                <w:rFonts w:ascii="Times New Roman" w:hAnsi="Times New Roman" w:cs="Times New Roman"/>
              </w:rPr>
              <w:t xml:space="preserve"> </w:t>
            </w:r>
          </w:p>
        </w:tc>
        <w:tc>
          <w:tcPr>
            <w:tcW w:w="6842" w:type="dxa"/>
            <w:shd w:val="clear" w:color="auto" w:fill="auto"/>
            <w:tcMar>
              <w:left w:w="108" w:type="dxa"/>
            </w:tcMar>
          </w:tcPr>
          <w:p w:rsidR="00790295" w:rsidRPr="004B0590" w:rsidRDefault="0005425B" w:rsidP="008660FF">
            <w:pPr>
              <w:spacing w:after="0" w:line="276" w:lineRule="auto"/>
              <w:jc w:val="both"/>
              <w:rPr>
                <w:rFonts w:ascii="Times New Roman" w:hAnsi="Times New Roman" w:cs="Times New Roman"/>
              </w:rPr>
            </w:pPr>
            <w:r w:rsidRPr="004B0590">
              <w:rPr>
                <w:rFonts w:ascii="Times New Roman" w:hAnsi="Times New Roman" w:cs="Times New Roman"/>
              </w:rPr>
              <w:t xml:space="preserve">Certaines cultures ne peuvent </w:t>
            </w:r>
            <w:r w:rsidR="008660FF" w:rsidRPr="004B0590">
              <w:rPr>
                <w:rFonts w:ascii="Times New Roman" w:hAnsi="Times New Roman" w:cs="Times New Roman"/>
              </w:rPr>
              <w:t xml:space="preserve">faire l’objet d’épandages de </w:t>
            </w:r>
            <w:proofErr w:type="spellStart"/>
            <w:r w:rsidR="008660FF" w:rsidRPr="004B0590">
              <w:rPr>
                <w:rFonts w:ascii="Times New Roman" w:hAnsi="Times New Roman" w:cs="Times New Roman"/>
              </w:rPr>
              <w:t>digestats</w:t>
            </w:r>
            <w:proofErr w:type="spellEnd"/>
            <w:r w:rsidR="008660FF" w:rsidRPr="004B0590">
              <w:rPr>
                <w:rFonts w:ascii="Times New Roman" w:hAnsi="Times New Roman" w:cs="Times New Roman"/>
              </w:rPr>
              <w:t xml:space="preserve"> </w:t>
            </w:r>
            <w:r w:rsidRPr="004B0590">
              <w:rPr>
                <w:rFonts w:ascii="Times New Roman" w:hAnsi="Times New Roman" w:cs="Times New Roman"/>
              </w:rPr>
              <w:t>en raison du risque microbiologique</w:t>
            </w:r>
            <w:r w:rsidR="008660FF" w:rsidRPr="004B0590">
              <w:rPr>
                <w:rFonts w:ascii="Times New Roman" w:hAnsi="Times New Roman" w:cs="Times New Roman"/>
              </w:rPr>
              <w:t>.</w:t>
            </w:r>
            <w:r w:rsidR="00A72CF3">
              <w:rPr>
                <w:rFonts w:ascii="Times New Roman" w:hAnsi="Times New Roman" w:cs="Times New Roman"/>
              </w:rPr>
              <w:t xml:space="preserve"> </w:t>
            </w:r>
            <w:r w:rsidR="008660FF" w:rsidRPr="004B0590">
              <w:rPr>
                <w:rFonts w:ascii="Times New Roman" w:hAnsi="Times New Roman" w:cs="Times New Roman"/>
              </w:rPr>
              <w:t>S</w:t>
            </w:r>
            <w:r w:rsidRPr="004B0590">
              <w:rPr>
                <w:rFonts w:ascii="Times New Roman" w:hAnsi="Times New Roman" w:cs="Times New Roman"/>
              </w:rPr>
              <w:t xml:space="preserve">eules les cultures ne présentant pas de risque et validées par l’Anses peuvent être autorisées. La liste des usages a été étendue pour inclure les cultures fourragères et </w:t>
            </w:r>
            <w:proofErr w:type="spellStart"/>
            <w:r w:rsidRPr="004B0590">
              <w:rPr>
                <w:rFonts w:ascii="Times New Roman" w:hAnsi="Times New Roman" w:cs="Times New Roman"/>
              </w:rPr>
              <w:t>intercultures</w:t>
            </w:r>
            <w:proofErr w:type="spellEnd"/>
            <w:r w:rsidRPr="004B0590">
              <w:rPr>
                <w:rFonts w:ascii="Times New Roman" w:hAnsi="Times New Roman" w:cs="Times New Roman"/>
              </w:rPr>
              <w:t>.</w:t>
            </w:r>
          </w:p>
        </w:tc>
      </w:tr>
      <w:tr w:rsidR="00790295" w:rsidRPr="004B0590" w:rsidTr="000209E9">
        <w:tc>
          <w:tcPr>
            <w:tcW w:w="2220" w:type="dxa"/>
            <w:shd w:val="clear" w:color="auto" w:fill="auto"/>
            <w:tcMar>
              <w:left w:w="108" w:type="dxa"/>
            </w:tcMar>
          </w:tcPr>
          <w:p w:rsidR="00790295" w:rsidRPr="004B0590" w:rsidRDefault="00790295" w:rsidP="00110F5B">
            <w:pPr>
              <w:spacing w:after="0" w:line="276" w:lineRule="auto"/>
              <w:jc w:val="center"/>
              <w:rPr>
                <w:rFonts w:ascii="Times New Roman" w:hAnsi="Times New Roman" w:cs="Times New Roman"/>
              </w:rPr>
            </w:pPr>
          </w:p>
          <w:p w:rsidR="00790295" w:rsidRPr="004B0590" w:rsidRDefault="0005425B" w:rsidP="00110F5B">
            <w:pPr>
              <w:spacing w:after="0" w:line="276" w:lineRule="auto"/>
              <w:jc w:val="center"/>
              <w:rPr>
                <w:rFonts w:ascii="Times New Roman" w:hAnsi="Times New Roman" w:cs="Times New Roman"/>
              </w:rPr>
            </w:pPr>
            <w:r w:rsidRPr="004B0590">
              <w:rPr>
                <w:rFonts w:ascii="Times New Roman" w:hAnsi="Times New Roman" w:cs="Times New Roman"/>
                <w:b/>
                <w:sz w:val="24"/>
                <w:szCs w:val="24"/>
              </w:rPr>
              <w:t>Étiquetage</w:t>
            </w:r>
          </w:p>
          <w:p w:rsidR="00790295" w:rsidRPr="004B0590" w:rsidRDefault="00790295" w:rsidP="00110F5B">
            <w:pPr>
              <w:spacing w:after="0" w:line="276" w:lineRule="auto"/>
              <w:jc w:val="center"/>
              <w:rPr>
                <w:rFonts w:ascii="Times New Roman" w:hAnsi="Times New Roman" w:cs="Times New Roman"/>
              </w:rPr>
            </w:pPr>
          </w:p>
        </w:tc>
        <w:tc>
          <w:tcPr>
            <w:tcW w:w="6842" w:type="dxa"/>
            <w:shd w:val="clear" w:color="auto" w:fill="auto"/>
            <w:tcMar>
              <w:left w:w="108" w:type="dxa"/>
            </w:tcMar>
          </w:tcPr>
          <w:p w:rsidR="00790295" w:rsidRPr="004B0590" w:rsidRDefault="0005425B" w:rsidP="0005425B">
            <w:pPr>
              <w:spacing w:after="0" w:line="276" w:lineRule="auto"/>
              <w:jc w:val="both"/>
              <w:rPr>
                <w:rFonts w:ascii="Times New Roman" w:hAnsi="Times New Roman" w:cs="Times New Roman"/>
                <w:b/>
              </w:rPr>
            </w:pPr>
            <w:r w:rsidRPr="004B0590">
              <w:rPr>
                <w:rFonts w:ascii="Times New Roman" w:hAnsi="Times New Roman" w:cs="Times New Roman"/>
              </w:rPr>
              <w:t xml:space="preserve">L’inscription du pays d’origine, de dispositions sur le stockage pour diminuer les risques de volatilisation ainsi que le pourcentage d'effluents d'élevages dans le substrat méthanisé ont été ajoutés. </w:t>
            </w:r>
          </w:p>
        </w:tc>
      </w:tr>
      <w:tr w:rsidR="00790295" w:rsidRPr="004B0590" w:rsidTr="000209E9">
        <w:tc>
          <w:tcPr>
            <w:tcW w:w="2220" w:type="dxa"/>
            <w:shd w:val="clear" w:color="auto" w:fill="auto"/>
            <w:tcMar>
              <w:left w:w="108" w:type="dxa"/>
            </w:tcMar>
          </w:tcPr>
          <w:p w:rsidR="00790295" w:rsidRPr="004B0590" w:rsidRDefault="00790295" w:rsidP="00110F5B">
            <w:pPr>
              <w:spacing w:after="0" w:line="276" w:lineRule="auto"/>
              <w:jc w:val="center"/>
              <w:rPr>
                <w:rFonts w:ascii="Times New Roman" w:hAnsi="Times New Roman" w:cs="Times New Roman"/>
              </w:rPr>
            </w:pPr>
          </w:p>
          <w:p w:rsidR="00AF0A22" w:rsidRPr="004B0590" w:rsidRDefault="00AF0A22" w:rsidP="00950D74">
            <w:pPr>
              <w:spacing w:after="0" w:line="276" w:lineRule="auto"/>
              <w:rPr>
                <w:rFonts w:ascii="Times New Roman" w:hAnsi="Times New Roman" w:cs="Times New Roman"/>
                <w:b/>
                <w:sz w:val="24"/>
                <w:szCs w:val="24"/>
              </w:rPr>
            </w:pPr>
          </w:p>
          <w:p w:rsidR="00790295" w:rsidRPr="004B0590" w:rsidRDefault="0005425B" w:rsidP="00110F5B">
            <w:pPr>
              <w:spacing w:after="0" w:line="276" w:lineRule="auto"/>
              <w:jc w:val="center"/>
              <w:rPr>
                <w:rFonts w:ascii="Times New Roman" w:hAnsi="Times New Roman" w:cs="Times New Roman"/>
              </w:rPr>
            </w:pPr>
            <w:r w:rsidRPr="004B0590">
              <w:rPr>
                <w:rFonts w:ascii="Times New Roman" w:hAnsi="Times New Roman" w:cs="Times New Roman"/>
                <w:b/>
                <w:sz w:val="24"/>
                <w:szCs w:val="24"/>
              </w:rPr>
              <w:t>Autocontrôle et transfert de responsabilité</w:t>
            </w:r>
          </w:p>
        </w:tc>
        <w:tc>
          <w:tcPr>
            <w:tcW w:w="6842" w:type="dxa"/>
            <w:shd w:val="clear" w:color="auto" w:fill="auto"/>
            <w:tcMar>
              <w:left w:w="108" w:type="dxa"/>
            </w:tcMar>
          </w:tcPr>
          <w:p w:rsidR="0005425B" w:rsidRPr="004B0590" w:rsidRDefault="0005425B" w:rsidP="0005425B">
            <w:pPr>
              <w:jc w:val="both"/>
              <w:rPr>
                <w:rFonts w:ascii="Times New Roman" w:hAnsi="Times New Roman" w:cs="Times New Roman"/>
              </w:rPr>
            </w:pPr>
            <w:r w:rsidRPr="004B0590">
              <w:rPr>
                <w:rFonts w:ascii="Times New Roman" w:hAnsi="Times New Roman" w:cs="Times New Roman"/>
              </w:rPr>
              <w:t xml:space="preserve">L’Anses n’a pas identifié de raison pour contrôler de façon différente les </w:t>
            </w:r>
            <w:proofErr w:type="spellStart"/>
            <w:r w:rsidRPr="004B0590">
              <w:rPr>
                <w:rFonts w:ascii="Times New Roman" w:hAnsi="Times New Roman" w:cs="Times New Roman"/>
              </w:rPr>
              <w:t>digestats</w:t>
            </w:r>
            <w:proofErr w:type="spellEnd"/>
            <w:r w:rsidRPr="004B0590">
              <w:rPr>
                <w:rFonts w:ascii="Times New Roman" w:hAnsi="Times New Roman" w:cs="Times New Roman"/>
              </w:rPr>
              <w:t xml:space="preserve"> issus de ces CDC et les autres produits MFSC, notamment les produits normés. Le processus d’autocontrôle n’implique pas l’absence de contrôle</w:t>
            </w:r>
            <w:r w:rsidR="008660FF" w:rsidRPr="004B0590">
              <w:rPr>
                <w:rFonts w:ascii="Times New Roman" w:hAnsi="Times New Roman" w:cs="Times New Roman"/>
              </w:rPr>
              <w:t>s officiels</w:t>
            </w:r>
            <w:r w:rsidRPr="004B0590">
              <w:rPr>
                <w:rFonts w:ascii="Times New Roman" w:hAnsi="Times New Roman" w:cs="Times New Roman"/>
              </w:rPr>
              <w:t xml:space="preserve"> par l’Etat et les </w:t>
            </w:r>
            <w:proofErr w:type="spellStart"/>
            <w:r w:rsidRPr="004B0590">
              <w:rPr>
                <w:rFonts w:ascii="Times New Roman" w:hAnsi="Times New Roman" w:cs="Times New Roman"/>
              </w:rPr>
              <w:t>digestats</w:t>
            </w:r>
            <w:proofErr w:type="spellEnd"/>
            <w:r w:rsidRPr="004B0590">
              <w:rPr>
                <w:rFonts w:ascii="Times New Roman" w:hAnsi="Times New Roman" w:cs="Times New Roman"/>
              </w:rPr>
              <w:t xml:space="preserve"> seront donc contrôlés comme </w:t>
            </w:r>
            <w:r w:rsidR="008660FF" w:rsidRPr="004B0590">
              <w:rPr>
                <w:rFonts w:ascii="Times New Roman" w:hAnsi="Times New Roman" w:cs="Times New Roman"/>
              </w:rPr>
              <w:t xml:space="preserve">les autres fertilisants </w:t>
            </w:r>
            <w:r w:rsidRPr="004B0590">
              <w:rPr>
                <w:rFonts w:ascii="Times New Roman" w:hAnsi="Times New Roman" w:cs="Times New Roman"/>
              </w:rPr>
              <w:t xml:space="preserve">mis sur le marché par les services </w:t>
            </w:r>
            <w:r w:rsidR="008660FF" w:rsidRPr="004B0590">
              <w:rPr>
                <w:rFonts w:ascii="Times New Roman" w:hAnsi="Times New Roman" w:cs="Times New Roman"/>
              </w:rPr>
              <w:t xml:space="preserve">compétents </w:t>
            </w:r>
            <w:r w:rsidRPr="004B0590">
              <w:rPr>
                <w:rFonts w:ascii="Times New Roman" w:hAnsi="Times New Roman" w:cs="Times New Roman"/>
              </w:rPr>
              <w:t xml:space="preserve">de l’Etat (DGCCRF notamment). </w:t>
            </w:r>
          </w:p>
          <w:p w:rsidR="00790295" w:rsidRPr="004B0590" w:rsidRDefault="0005425B" w:rsidP="008660FF">
            <w:pPr>
              <w:jc w:val="both"/>
              <w:rPr>
                <w:rFonts w:ascii="Times New Roman" w:hAnsi="Times New Roman" w:cs="Times New Roman"/>
              </w:rPr>
            </w:pPr>
            <w:r w:rsidRPr="004B0590">
              <w:rPr>
                <w:rFonts w:ascii="Times New Roman" w:hAnsi="Times New Roman" w:cs="Times New Roman"/>
              </w:rPr>
              <w:t>Le transfert de responsabilité vers l’utilisateur</w:t>
            </w:r>
            <w:r w:rsidR="008660FF" w:rsidRPr="004B0590">
              <w:rPr>
                <w:rFonts w:ascii="Times New Roman" w:hAnsi="Times New Roman" w:cs="Times New Roman"/>
              </w:rPr>
              <w:t xml:space="preserve"> est en adéquation avec le</w:t>
            </w:r>
            <w:r w:rsidRPr="004B0590">
              <w:rPr>
                <w:rFonts w:ascii="Times New Roman" w:hAnsi="Times New Roman" w:cs="Times New Roman"/>
              </w:rPr>
              <w:t xml:space="preserve"> statut de produit. En cas de non-respect du CDC entrainant la production et </w:t>
            </w:r>
            <w:r w:rsidRPr="004B0590">
              <w:rPr>
                <w:rFonts w:ascii="Times New Roman" w:hAnsi="Times New Roman" w:cs="Times New Roman"/>
              </w:rPr>
              <w:lastRenderedPageBreak/>
              <w:t>l’utilisation d’un produit présentant des risques pour les sols ou l’environnement, il s’agirait alors d’une non-conformité</w:t>
            </w:r>
            <w:r w:rsidR="008660FF" w:rsidRPr="004B0590">
              <w:rPr>
                <w:rFonts w:ascii="Times New Roman" w:hAnsi="Times New Roman" w:cs="Times New Roman"/>
              </w:rPr>
              <w:t xml:space="preserve"> </w:t>
            </w:r>
            <w:r w:rsidRPr="004B0590">
              <w:rPr>
                <w:rFonts w:ascii="Times New Roman" w:hAnsi="Times New Roman" w:cs="Times New Roman"/>
              </w:rPr>
              <w:t xml:space="preserve">engageant la responsabilité du producteur du </w:t>
            </w:r>
            <w:proofErr w:type="spellStart"/>
            <w:r w:rsidRPr="004B0590">
              <w:rPr>
                <w:rFonts w:ascii="Times New Roman" w:hAnsi="Times New Roman" w:cs="Times New Roman"/>
              </w:rPr>
              <w:t>digestat</w:t>
            </w:r>
            <w:proofErr w:type="spellEnd"/>
            <w:r w:rsidRPr="004B0590">
              <w:rPr>
                <w:rFonts w:ascii="Times New Roman" w:hAnsi="Times New Roman" w:cs="Times New Roman"/>
              </w:rPr>
              <w:t xml:space="preserve"> et en aucun cas celle de l’utilisateur. </w:t>
            </w:r>
          </w:p>
        </w:tc>
      </w:tr>
      <w:tr w:rsidR="0005425B" w:rsidRPr="004B0590" w:rsidTr="000209E9">
        <w:tc>
          <w:tcPr>
            <w:tcW w:w="2220" w:type="dxa"/>
            <w:shd w:val="clear" w:color="auto" w:fill="auto"/>
            <w:tcMar>
              <w:left w:w="108" w:type="dxa"/>
            </w:tcMar>
          </w:tcPr>
          <w:p w:rsidR="0005425B" w:rsidRPr="004B0590" w:rsidRDefault="0005425B" w:rsidP="00110F5B">
            <w:pPr>
              <w:spacing w:after="0" w:line="276" w:lineRule="auto"/>
              <w:jc w:val="center"/>
              <w:rPr>
                <w:rFonts w:ascii="Times New Roman" w:hAnsi="Times New Roman" w:cs="Times New Roman"/>
              </w:rPr>
            </w:pPr>
            <w:r w:rsidRPr="004B0590">
              <w:rPr>
                <w:rFonts w:ascii="Times New Roman" w:hAnsi="Times New Roman" w:cs="Times New Roman"/>
                <w:b/>
                <w:sz w:val="24"/>
                <w:szCs w:val="24"/>
              </w:rPr>
              <w:lastRenderedPageBreak/>
              <w:t>Harmonisation des trois cahiers des charges</w:t>
            </w:r>
          </w:p>
        </w:tc>
        <w:tc>
          <w:tcPr>
            <w:tcW w:w="6842" w:type="dxa"/>
            <w:shd w:val="clear" w:color="auto" w:fill="auto"/>
            <w:tcMar>
              <w:left w:w="108" w:type="dxa"/>
            </w:tcMar>
          </w:tcPr>
          <w:p w:rsidR="0005425B" w:rsidRPr="004B0590" w:rsidRDefault="00AF0A22" w:rsidP="00AF0A22">
            <w:pPr>
              <w:jc w:val="both"/>
              <w:rPr>
                <w:rFonts w:ascii="Times New Roman" w:hAnsi="Times New Roman" w:cs="Times New Roman"/>
              </w:rPr>
            </w:pPr>
            <w:r w:rsidRPr="004B0590">
              <w:rPr>
                <w:rFonts w:ascii="Times New Roman" w:hAnsi="Times New Roman" w:cs="Times New Roman"/>
              </w:rPr>
              <w:t xml:space="preserve">Une harmonisation est prévue et interviendra après la publication des cahiers des charges </w:t>
            </w:r>
            <w:proofErr w:type="spellStart"/>
            <w:r w:rsidRPr="004B0590">
              <w:rPr>
                <w:rFonts w:ascii="Times New Roman" w:hAnsi="Times New Roman" w:cs="Times New Roman"/>
              </w:rPr>
              <w:t>DigAgri</w:t>
            </w:r>
            <w:proofErr w:type="spellEnd"/>
            <w:r w:rsidRPr="004B0590">
              <w:rPr>
                <w:rFonts w:ascii="Times New Roman" w:hAnsi="Times New Roman" w:cs="Times New Roman"/>
              </w:rPr>
              <w:t xml:space="preserve"> 2 et 3 et les éventuelles modifications conséquentes au projet de loi sur l’économie circulaire.</w:t>
            </w:r>
            <w:bookmarkStart w:id="0" w:name="_GoBack"/>
            <w:bookmarkEnd w:id="0"/>
          </w:p>
        </w:tc>
      </w:tr>
      <w:tr w:rsidR="0005425B" w:rsidRPr="004B0590" w:rsidTr="000209E9">
        <w:tc>
          <w:tcPr>
            <w:tcW w:w="2220" w:type="dxa"/>
            <w:shd w:val="clear" w:color="auto" w:fill="auto"/>
            <w:tcMar>
              <w:left w:w="108" w:type="dxa"/>
            </w:tcMar>
          </w:tcPr>
          <w:p w:rsidR="00AF0A22" w:rsidRPr="004B0590" w:rsidRDefault="00AF0A22" w:rsidP="00AF0A22">
            <w:pPr>
              <w:spacing w:after="0" w:line="276" w:lineRule="auto"/>
              <w:jc w:val="center"/>
              <w:rPr>
                <w:rFonts w:ascii="Times New Roman" w:hAnsi="Times New Roman" w:cs="Times New Roman"/>
                <w:b/>
                <w:sz w:val="24"/>
                <w:szCs w:val="24"/>
              </w:rPr>
            </w:pPr>
          </w:p>
          <w:p w:rsidR="00AF0A22" w:rsidRPr="004B0590" w:rsidRDefault="00AF0A22" w:rsidP="00AF0A22">
            <w:pPr>
              <w:spacing w:after="0" w:line="276" w:lineRule="auto"/>
              <w:jc w:val="center"/>
              <w:rPr>
                <w:rFonts w:ascii="Times New Roman" w:hAnsi="Times New Roman" w:cs="Times New Roman"/>
                <w:b/>
                <w:sz w:val="24"/>
                <w:szCs w:val="24"/>
              </w:rPr>
            </w:pPr>
          </w:p>
          <w:p w:rsidR="0005425B" w:rsidRPr="004B0590" w:rsidRDefault="00AF0A22" w:rsidP="00AF0A22">
            <w:pPr>
              <w:spacing w:after="0" w:line="276" w:lineRule="auto"/>
              <w:jc w:val="center"/>
              <w:rPr>
                <w:rFonts w:ascii="Times New Roman" w:hAnsi="Times New Roman" w:cs="Times New Roman"/>
              </w:rPr>
            </w:pPr>
            <w:r w:rsidRPr="004B0590">
              <w:rPr>
                <w:rFonts w:ascii="Times New Roman" w:hAnsi="Times New Roman" w:cs="Times New Roman"/>
                <w:b/>
                <w:sz w:val="24"/>
                <w:szCs w:val="24"/>
              </w:rPr>
              <w:t xml:space="preserve">Echanges de </w:t>
            </w:r>
            <w:proofErr w:type="spellStart"/>
            <w:r w:rsidRPr="004B0590">
              <w:rPr>
                <w:rFonts w:ascii="Times New Roman" w:hAnsi="Times New Roman" w:cs="Times New Roman"/>
                <w:b/>
                <w:sz w:val="24"/>
                <w:szCs w:val="24"/>
              </w:rPr>
              <w:t>digestat</w:t>
            </w:r>
            <w:proofErr w:type="spellEnd"/>
            <w:r w:rsidRPr="004B0590">
              <w:rPr>
                <w:rFonts w:ascii="Times New Roman" w:hAnsi="Times New Roman" w:cs="Times New Roman"/>
                <w:b/>
                <w:sz w:val="24"/>
                <w:szCs w:val="24"/>
              </w:rPr>
              <w:t xml:space="preserve"> entre Etats membres</w:t>
            </w:r>
          </w:p>
        </w:tc>
        <w:tc>
          <w:tcPr>
            <w:tcW w:w="6842" w:type="dxa"/>
            <w:shd w:val="clear" w:color="auto" w:fill="auto"/>
            <w:tcMar>
              <w:left w:w="108" w:type="dxa"/>
            </w:tcMar>
          </w:tcPr>
          <w:p w:rsidR="00AF0A22" w:rsidRPr="004B0590" w:rsidRDefault="008D56EF" w:rsidP="008660FF">
            <w:pPr>
              <w:jc w:val="both"/>
              <w:rPr>
                <w:rFonts w:ascii="Times New Roman" w:hAnsi="Times New Roman" w:cs="Times New Roman"/>
              </w:rPr>
            </w:pPr>
            <w:r w:rsidRPr="004B0590">
              <w:rPr>
                <w:rFonts w:ascii="Times New Roman" w:hAnsi="Times New Roman" w:cs="Times New Roman"/>
              </w:rPr>
              <w:t>L’information</w:t>
            </w:r>
            <w:r w:rsidR="00AF0A22" w:rsidRPr="004B0590">
              <w:rPr>
                <w:rFonts w:ascii="Times New Roman" w:hAnsi="Times New Roman" w:cs="Times New Roman"/>
              </w:rPr>
              <w:t xml:space="preserve"> sur les conditions de circulation des </w:t>
            </w:r>
            <w:proofErr w:type="spellStart"/>
            <w:r w:rsidR="00AF0A22" w:rsidRPr="004B0590">
              <w:rPr>
                <w:rFonts w:ascii="Times New Roman" w:hAnsi="Times New Roman" w:cs="Times New Roman"/>
              </w:rPr>
              <w:t>digestats</w:t>
            </w:r>
            <w:proofErr w:type="spellEnd"/>
            <w:r w:rsidR="00AF0A22" w:rsidRPr="004B0590">
              <w:rPr>
                <w:rFonts w:ascii="Times New Roman" w:hAnsi="Times New Roman" w:cs="Times New Roman"/>
              </w:rPr>
              <w:t xml:space="preserve"> a été ajoutée. Seuls les produits dérivés de sous-produits animaux </w:t>
            </w:r>
            <w:proofErr w:type="spellStart"/>
            <w:r w:rsidR="00AF0A22" w:rsidRPr="004B0590">
              <w:rPr>
                <w:rFonts w:ascii="Times New Roman" w:hAnsi="Times New Roman" w:cs="Times New Roman"/>
              </w:rPr>
              <w:t>hygiénisés</w:t>
            </w:r>
            <w:proofErr w:type="spellEnd"/>
            <w:r w:rsidR="00AF0A22" w:rsidRPr="004B0590">
              <w:rPr>
                <w:rFonts w:ascii="Times New Roman" w:hAnsi="Times New Roman" w:cs="Times New Roman"/>
              </w:rPr>
              <w:t xml:space="preserve">, qui sont transformés au sens du Règlement (CE) no 1069/2009, peuvent être échangés, à condition d’être issus d’une installation disposant d’un agrément sanitaire européen et d’être accompagnés d'un document commercial. Les produits dérivés de sous-produits animaux de catégorie 2 ou 3 non </w:t>
            </w:r>
            <w:proofErr w:type="spellStart"/>
            <w:r w:rsidR="00AF0A22" w:rsidRPr="004B0590">
              <w:rPr>
                <w:rFonts w:ascii="Times New Roman" w:hAnsi="Times New Roman" w:cs="Times New Roman"/>
              </w:rPr>
              <w:t>hygiénisés</w:t>
            </w:r>
            <w:proofErr w:type="spellEnd"/>
            <w:r w:rsidR="00AF0A22" w:rsidRPr="004B0590">
              <w:rPr>
                <w:rFonts w:ascii="Times New Roman" w:hAnsi="Times New Roman" w:cs="Times New Roman"/>
              </w:rPr>
              <w:t>, qui sont donc des produits non transformés au sens du règlement (CE) no 1069/2009 , ne peuvent faire l'objet d'échanges entre Etats membres.</w:t>
            </w:r>
          </w:p>
        </w:tc>
      </w:tr>
    </w:tbl>
    <w:p w:rsidR="00790295" w:rsidRPr="004B0590" w:rsidRDefault="00790295">
      <w:pPr>
        <w:rPr>
          <w:rFonts w:ascii="Times New Roman" w:hAnsi="Times New Roman" w:cs="Times New Roman"/>
        </w:rPr>
      </w:pPr>
    </w:p>
    <w:sectPr w:rsidR="00790295" w:rsidRPr="004B0590">
      <w:headerReference w:type="default" r:id="rId7"/>
      <w:pgSz w:w="11906" w:h="16838"/>
      <w:pgMar w:top="1417" w:right="1417" w:bottom="1417" w:left="1417"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89C" w:rsidRDefault="0093489C">
      <w:pPr>
        <w:spacing w:after="0" w:line="240" w:lineRule="auto"/>
      </w:pPr>
      <w:r>
        <w:separator/>
      </w:r>
    </w:p>
  </w:endnote>
  <w:endnote w:type="continuationSeparator" w:id="0">
    <w:p w:rsidR="0093489C" w:rsidRDefault="00934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89C" w:rsidRDefault="0093489C">
      <w:pPr>
        <w:spacing w:after="0" w:line="240" w:lineRule="auto"/>
      </w:pPr>
      <w:r>
        <w:separator/>
      </w:r>
    </w:p>
  </w:footnote>
  <w:footnote w:type="continuationSeparator" w:id="0">
    <w:p w:rsidR="0093489C" w:rsidRDefault="00934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295" w:rsidRDefault="005C5C48">
    <w:pPr>
      <w:keepNext/>
      <w:spacing w:after="200" w:line="240" w:lineRule="auto"/>
      <w:jc w:val="center"/>
      <w:outlineLvl w:val="0"/>
      <w:rPr>
        <w:rFonts w:ascii="Times New Roman" w:eastAsia="Times New Roman" w:hAnsi="Times New Roman" w:cs="Arial"/>
        <w:bCs/>
        <w:smallCaps/>
        <w:sz w:val="20"/>
        <w:szCs w:val="20"/>
        <w:lang w:eastAsia="fr-FR"/>
      </w:rPr>
    </w:pPr>
    <w:r w:rsidRPr="005E35F6">
      <w:rPr>
        <w:rFonts w:ascii="Times New Roman" w:eastAsia="Times New Roman" w:hAnsi="Times New Roman" w:cs="Arial"/>
        <w:bCs/>
        <w:smallCaps/>
        <w:sz w:val="20"/>
        <w:szCs w:val="20"/>
        <w:lang w:eastAsia="fr-FR"/>
      </w:rPr>
      <w:object w:dxaOrig="1680"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49.5pt">
          <v:imagedata r:id="rId1" o:title="" croptop="6070f" cropbottom="37029f" cropleft="8173f" cropright="8340f"/>
        </v:shape>
        <o:OLEObject Type="Embed" ProgID="Word.Picture.8" ShapeID="_x0000_i1025" DrawAspect="Content" ObjectID="_1625994934" r:id="rId2"/>
      </w:object>
    </w:r>
  </w:p>
  <w:p w:rsidR="00790295" w:rsidRDefault="00913139">
    <w:pPr>
      <w:keepNext/>
      <w:spacing w:after="0" w:line="240" w:lineRule="auto"/>
      <w:jc w:val="center"/>
      <w:outlineLvl w:val="0"/>
      <w:rPr>
        <w:rFonts w:ascii="Times New Roman" w:eastAsia="Times New Roman" w:hAnsi="Times New Roman" w:cs="Arial"/>
        <w:bCs/>
        <w:sz w:val="20"/>
        <w:szCs w:val="20"/>
        <w:lang w:eastAsia="fr-FR"/>
      </w:rPr>
    </w:pPr>
    <w:r>
      <w:rPr>
        <w:rFonts w:ascii="Times New Roman" w:eastAsia="Times New Roman" w:hAnsi="Times New Roman" w:cs="Arial"/>
        <w:bCs/>
        <w:sz w:val="20"/>
        <w:szCs w:val="20"/>
        <w:lang w:eastAsia="fr-FR"/>
      </w:rPr>
      <w:t>MINISTÈRE DE L’AGRICULTURE</w:t>
    </w:r>
    <w:r>
      <w:rPr>
        <w:rFonts w:ascii="Times New Roman" w:eastAsia="Times New Roman" w:hAnsi="Times New Roman" w:cs="Times New Roman"/>
        <w:bCs/>
        <w:sz w:val="20"/>
        <w:szCs w:val="20"/>
        <w:lang w:eastAsia="fr-FR"/>
      </w:rPr>
      <w:t xml:space="preserve"> ET </w:t>
    </w:r>
    <w:r>
      <w:rPr>
        <w:rFonts w:ascii="Times New Roman" w:eastAsia="Times New Roman" w:hAnsi="Times New Roman" w:cs="Times New Roman"/>
        <w:smallCaps/>
        <w:sz w:val="20"/>
        <w:szCs w:val="20"/>
        <w:lang w:eastAsia="fr-FR"/>
      </w:rPr>
      <w:t>DE L’ALIMENTATION</w:t>
    </w:r>
  </w:p>
  <w:p w:rsidR="00790295" w:rsidRDefault="0079029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295"/>
    <w:rsid w:val="000209E9"/>
    <w:rsid w:val="0005425B"/>
    <w:rsid w:val="00110F5B"/>
    <w:rsid w:val="003A3A33"/>
    <w:rsid w:val="00410B40"/>
    <w:rsid w:val="004B0590"/>
    <w:rsid w:val="005C5C48"/>
    <w:rsid w:val="00790295"/>
    <w:rsid w:val="007E5DE2"/>
    <w:rsid w:val="008660FF"/>
    <w:rsid w:val="008D56EF"/>
    <w:rsid w:val="00913139"/>
    <w:rsid w:val="0093022C"/>
    <w:rsid w:val="0093489C"/>
    <w:rsid w:val="00946B86"/>
    <w:rsid w:val="00950D74"/>
    <w:rsid w:val="00A72CF3"/>
    <w:rsid w:val="00AF0A22"/>
    <w:rsid w:val="00C35259"/>
    <w:rsid w:val="00C54F04"/>
    <w:rsid w:val="00C62C95"/>
    <w:rsid w:val="00C84D27"/>
    <w:rsid w:val="00EE42E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4941B015"/>
  <w15:docId w15:val="{81ABC226-CE18-48A9-859D-7E337F46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pPr>
  </w:style>
  <w:style w:type="paragraph" w:styleId="Titre1">
    <w:name w:val="heading 1"/>
    <w:basedOn w:val="Titre"/>
    <w:pPr>
      <w:outlineLvl w:val="0"/>
    </w:pPr>
  </w:style>
  <w:style w:type="paragraph" w:styleId="Titre2">
    <w:name w:val="heading 2"/>
    <w:basedOn w:val="Titre"/>
    <w:pPr>
      <w:outlineLvl w:val="1"/>
    </w:pPr>
  </w:style>
  <w:style w:type="paragraph" w:styleId="Titre3">
    <w:name w:val="heading 3"/>
    <w:basedOn w:val="Titre"/>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5E35F6"/>
  </w:style>
  <w:style w:type="character" w:customStyle="1" w:styleId="PieddepageCar">
    <w:name w:val="Pied de page Car"/>
    <w:basedOn w:val="Policepardfaut"/>
    <w:link w:val="Pieddepage"/>
    <w:uiPriority w:val="99"/>
    <w:qFormat/>
    <w:rsid w:val="005E35F6"/>
  </w:style>
  <w:style w:type="character" w:customStyle="1" w:styleId="tm4code">
    <w:name w:val="tm4code"/>
    <w:basedOn w:val="Policepardfaut"/>
    <w:qFormat/>
    <w:rsid w:val="00926149"/>
  </w:style>
  <w:style w:type="character" w:customStyle="1" w:styleId="TextedebullesCar">
    <w:name w:val="Texte de bulles Car"/>
    <w:basedOn w:val="Policepardfaut"/>
    <w:link w:val="Textedebulles"/>
    <w:uiPriority w:val="99"/>
    <w:semiHidden/>
    <w:qFormat/>
    <w:rsid w:val="009A4BDB"/>
    <w:rPr>
      <w:rFonts w:ascii="Segoe UI" w:hAnsi="Segoe UI" w:cs="Segoe UI"/>
      <w:sz w:val="18"/>
      <w:szCs w:val="18"/>
    </w:rPr>
  </w:style>
  <w:style w:type="character" w:customStyle="1" w:styleId="LienInternet">
    <w:name w:val="Lien Internet"/>
    <w:basedOn w:val="Policepardfaut"/>
    <w:uiPriority w:val="99"/>
    <w:semiHidden/>
    <w:unhideWhenUsed/>
    <w:rsid w:val="00E21132"/>
    <w:rPr>
      <w:color w:val="0000FF"/>
      <w:u w:val="single"/>
    </w:rPr>
  </w:style>
  <w:style w:type="character" w:customStyle="1" w:styleId="CorpsdetexteCar">
    <w:name w:val="Corps de texte Car"/>
    <w:basedOn w:val="Policepardfaut"/>
    <w:link w:val="Corpsdetexte"/>
    <w:qFormat/>
    <w:rsid w:val="005D35FD"/>
    <w:rPr>
      <w:rFonts w:ascii="Times New Roman" w:eastAsia="Times New Roman" w:hAnsi="Times New Roman" w:cs="Times New Roman"/>
      <w:sz w:val="24"/>
      <w:szCs w:val="24"/>
      <w:lang w:eastAsia="zh-CN"/>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link w:val="CorpsdetexteCar"/>
    <w:rsid w:val="005D35FD"/>
    <w:pPr>
      <w:spacing w:after="120" w:line="240" w:lineRule="auto"/>
      <w:jc w:val="both"/>
    </w:pPr>
    <w:rPr>
      <w:rFonts w:ascii="Times New Roman" w:eastAsia="Times New Roman" w:hAnsi="Times New Roman" w:cs="Times New Roman"/>
      <w:sz w:val="24"/>
      <w:szCs w:val="24"/>
      <w:lang w:eastAsia="zh-CN"/>
    </w:rPr>
  </w:style>
  <w:style w:type="paragraph" w:styleId="Liste">
    <w:name w:val="List"/>
    <w:basedOn w:val="Corpsdetexte"/>
    <w:rPr>
      <w:rFonts w:ascii="Liberation Sans" w:hAnsi="Liberation Sans" w:cs="Mangal"/>
    </w:rPr>
  </w:style>
  <w:style w:type="paragraph" w:styleId="Lgende">
    <w:name w:val="caption"/>
    <w:basedOn w:val="Normal"/>
    <w:pPr>
      <w:suppressLineNumbers/>
      <w:spacing w:before="120" w:after="120"/>
    </w:pPr>
    <w:rPr>
      <w:rFonts w:ascii="Liberation Sans" w:hAnsi="Liberation Sans" w:cs="Mangal"/>
      <w:i/>
      <w:iCs/>
      <w:sz w:val="24"/>
      <w:szCs w:val="24"/>
    </w:rPr>
  </w:style>
  <w:style w:type="paragraph" w:customStyle="1" w:styleId="Index">
    <w:name w:val="Index"/>
    <w:basedOn w:val="Normal"/>
    <w:qFormat/>
    <w:pPr>
      <w:suppressLineNumbers/>
    </w:pPr>
    <w:rPr>
      <w:rFonts w:ascii="Liberation Sans" w:hAnsi="Liberation Sans" w:cs="Mangal"/>
    </w:rPr>
  </w:style>
  <w:style w:type="paragraph" w:customStyle="1" w:styleId="western">
    <w:name w:val="western"/>
    <w:basedOn w:val="Normal"/>
    <w:qFormat/>
    <w:rsid w:val="00D31282"/>
    <w:pPr>
      <w:spacing w:beforeAutospacing="1" w:after="119" w:line="240" w:lineRule="auto"/>
    </w:pPr>
    <w:rPr>
      <w:rFonts w:ascii="Times New Roman" w:eastAsia="Times New Roman" w:hAnsi="Times New Roman" w:cs="Times New Roman"/>
      <w:color w:val="00000A"/>
      <w:sz w:val="24"/>
      <w:szCs w:val="24"/>
      <w:lang w:eastAsia="fr-FR"/>
    </w:rPr>
  </w:style>
  <w:style w:type="paragraph" w:styleId="Paragraphedeliste">
    <w:name w:val="List Paragraph"/>
    <w:basedOn w:val="Normal"/>
    <w:uiPriority w:val="34"/>
    <w:qFormat/>
    <w:rsid w:val="005E35F6"/>
    <w:pPr>
      <w:ind w:left="720"/>
      <w:contextualSpacing/>
    </w:pPr>
  </w:style>
  <w:style w:type="paragraph" w:styleId="En-tte">
    <w:name w:val="header"/>
    <w:basedOn w:val="Normal"/>
    <w:uiPriority w:val="99"/>
    <w:unhideWhenUsed/>
    <w:rsid w:val="005E35F6"/>
    <w:pPr>
      <w:tabs>
        <w:tab w:val="center" w:pos="4536"/>
        <w:tab w:val="right" w:pos="9072"/>
      </w:tabs>
      <w:spacing w:after="0" w:line="240" w:lineRule="auto"/>
    </w:pPr>
  </w:style>
  <w:style w:type="paragraph" w:styleId="Pieddepage">
    <w:name w:val="footer"/>
    <w:basedOn w:val="Normal"/>
    <w:link w:val="PieddepageCar"/>
    <w:uiPriority w:val="99"/>
    <w:unhideWhenUsed/>
    <w:rsid w:val="005E35F6"/>
    <w:pPr>
      <w:tabs>
        <w:tab w:val="center" w:pos="4536"/>
        <w:tab w:val="right" w:pos="9072"/>
      </w:tabs>
      <w:spacing w:after="0" w:line="240" w:lineRule="auto"/>
    </w:pPr>
  </w:style>
  <w:style w:type="paragraph" w:styleId="Textedebulles">
    <w:name w:val="Balloon Text"/>
    <w:basedOn w:val="Normal"/>
    <w:link w:val="TextedebullesCar"/>
    <w:uiPriority w:val="99"/>
    <w:semiHidden/>
    <w:unhideWhenUsed/>
    <w:qFormat/>
    <w:rsid w:val="009A4BDB"/>
    <w:pPr>
      <w:spacing w:after="0" w:line="240" w:lineRule="auto"/>
    </w:pPr>
    <w:rPr>
      <w:rFonts w:ascii="Segoe UI" w:hAnsi="Segoe UI" w:cs="Segoe UI"/>
      <w:sz w:val="18"/>
      <w:szCs w:val="18"/>
    </w:rPr>
  </w:style>
  <w:style w:type="paragraph" w:customStyle="1" w:styleId="Quotations">
    <w:name w:val="Quotations"/>
    <w:basedOn w:val="Normal"/>
    <w:qFormat/>
  </w:style>
  <w:style w:type="paragraph" w:customStyle="1" w:styleId="Titreprincipal">
    <w:name w:val="Titre principal"/>
    <w:basedOn w:val="Titre"/>
  </w:style>
  <w:style w:type="paragraph" w:styleId="Sous-titre">
    <w:name w:val="Subtitle"/>
    <w:basedOn w:val="Titre"/>
  </w:style>
  <w:style w:type="table" w:styleId="Grilledutableau">
    <w:name w:val="Table Grid"/>
    <w:basedOn w:val="TableauNormal"/>
    <w:uiPriority w:val="39"/>
    <w:rsid w:val="00D312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59892">
      <w:bodyDiv w:val="1"/>
      <w:marLeft w:val="0"/>
      <w:marRight w:val="0"/>
      <w:marTop w:val="0"/>
      <w:marBottom w:val="0"/>
      <w:divBdr>
        <w:top w:val="none" w:sz="0" w:space="0" w:color="auto"/>
        <w:left w:val="none" w:sz="0" w:space="0" w:color="auto"/>
        <w:bottom w:val="none" w:sz="0" w:space="0" w:color="auto"/>
        <w:right w:val="none" w:sz="0" w:space="0" w:color="auto"/>
      </w:divBdr>
    </w:div>
    <w:div w:id="1861699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DB5DE-A4F9-47B1-8108-5241B5A4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984</Words>
  <Characters>5416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MAA</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FERNAGUT</dc:creator>
  <cp:lastModifiedBy>Camille BECHAUX</cp:lastModifiedBy>
  <cp:revision>7</cp:revision>
  <cp:lastPrinted>2019-04-12T14:03:00Z</cp:lastPrinted>
  <dcterms:created xsi:type="dcterms:W3CDTF">2019-07-18T08:35:00Z</dcterms:created>
  <dcterms:modified xsi:type="dcterms:W3CDTF">2019-07-30T10:29:00Z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